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0C0DDA"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5A381681" w14:textId="6AEDF151" w:rsidR="002E06D7" w:rsidRPr="000C0DDA" w:rsidRDefault="00507C51" w:rsidP="009E321B">
            <w:pPr>
              <w:spacing w:after="0"/>
              <w:rPr>
                <w:rFonts w:ascii="Times New Roman" w:hAnsi="Times New Roman"/>
                <w:b/>
                <w:bCs/>
                <w:sz w:val="20"/>
                <w:szCs w:val="20"/>
                <w:shd w:val="clear" w:color="auto" w:fill="FFFFFF"/>
                <w:lang w:val="ro-RO"/>
              </w:rPr>
            </w:pPr>
            <w:bookmarkStart w:id="0" w:name="_Hlk139899716"/>
            <w:r w:rsidRPr="00507C51">
              <w:rPr>
                <w:rFonts w:ascii="Times New Roman" w:hAnsi="Times New Roman"/>
                <w:b/>
                <w:bCs/>
                <w:sz w:val="20"/>
                <w:szCs w:val="20"/>
                <w:shd w:val="clear" w:color="auto" w:fill="FFFFFF"/>
                <w:lang w:val="ro-RO"/>
              </w:rPr>
              <w:t xml:space="preserve">Prezentul Regulament transpune </w:t>
            </w:r>
            <w:r w:rsidR="00112048" w:rsidRPr="000C0DDA">
              <w:rPr>
                <w:rFonts w:ascii="Times New Roman" w:hAnsi="Times New Roman"/>
                <w:b/>
                <w:bCs/>
                <w:sz w:val="20"/>
                <w:szCs w:val="20"/>
                <w:shd w:val="clear" w:color="auto" w:fill="FFFFFF"/>
                <w:lang w:val="ro-RO"/>
              </w:rPr>
              <w:t>Regulamentul (CE) nr.</w:t>
            </w:r>
            <w:r w:rsidR="000469A9">
              <w:rPr>
                <w:rFonts w:ascii="Times New Roman" w:hAnsi="Times New Roman"/>
                <w:b/>
                <w:bCs/>
                <w:sz w:val="20"/>
                <w:szCs w:val="20"/>
                <w:shd w:val="clear" w:color="auto" w:fill="FFFFFF"/>
                <w:lang w:val="ro-RO"/>
              </w:rPr>
              <w:t xml:space="preserve"> </w:t>
            </w:r>
            <w:r w:rsidR="00112048" w:rsidRPr="000C0DDA">
              <w:rPr>
                <w:rFonts w:ascii="Times New Roman" w:hAnsi="Times New Roman"/>
                <w:b/>
                <w:bCs/>
                <w:sz w:val="20"/>
                <w:szCs w:val="20"/>
                <w:shd w:val="clear" w:color="auto" w:fill="FFFFFF"/>
                <w:lang w:val="ro-RO"/>
              </w:rPr>
              <w:t>641/2009 al Comisiei din 22</w:t>
            </w:r>
            <w:r w:rsidR="000469A9">
              <w:rPr>
                <w:rFonts w:ascii="Times New Roman" w:hAnsi="Times New Roman"/>
                <w:b/>
                <w:bCs/>
                <w:sz w:val="20"/>
                <w:szCs w:val="20"/>
                <w:shd w:val="clear" w:color="auto" w:fill="FFFFFF"/>
                <w:lang w:val="ro-RO"/>
              </w:rPr>
              <w:t xml:space="preserve"> </w:t>
            </w:r>
            <w:r w:rsidR="00112048" w:rsidRPr="000C0DDA">
              <w:rPr>
                <w:rFonts w:ascii="Times New Roman" w:hAnsi="Times New Roman"/>
                <w:b/>
                <w:bCs/>
                <w:sz w:val="20"/>
                <w:szCs w:val="20"/>
                <w:shd w:val="clear" w:color="auto" w:fill="FFFFFF"/>
                <w:lang w:val="ro-RO"/>
              </w:rPr>
              <w:t xml:space="preserve">iulie 2009 de punere în aplicare a Directivei 2005/32/CE a Parlamentului European și a Consiliului cu privire la cerințele de proiectare ecologică aplicabile pompelor de circulație fără etanșare independente și pompelor de circulație fără etanșare integrate în produse </w:t>
            </w:r>
            <w:r w:rsidR="003A58D5">
              <w:t xml:space="preserve"> </w:t>
            </w:r>
            <w:r w:rsidR="003A58D5" w:rsidRPr="003A58D5">
              <w:rPr>
                <w:rFonts w:ascii="Times New Roman" w:hAnsi="Times New Roman"/>
                <w:b/>
                <w:bCs/>
                <w:sz w:val="20"/>
                <w:szCs w:val="20"/>
                <w:shd w:val="clear" w:color="auto" w:fill="FFFFFF"/>
                <w:lang w:val="ro-RO"/>
              </w:rPr>
              <w:t>publicat în Jurnalul Oficial al Comunității Europene L 191 din 23 iulie 2009, CELEX 32009R0641 așa cum a fost modificat ultima dată prin Regulamentul (UE) 2019/1781 al Comisiei din 1 octombrie 2019</w:t>
            </w:r>
            <w:bookmarkEnd w:id="0"/>
          </w:p>
        </w:tc>
      </w:tr>
      <w:tr w:rsidR="008F4FF1" w:rsidRPr="000C0DDA" w14:paraId="6AB52BB5" w14:textId="77777777" w:rsidTr="00565581">
        <w:trPr>
          <w:trHeight w:val="554"/>
        </w:trPr>
        <w:tc>
          <w:tcPr>
            <w:tcW w:w="15067" w:type="dxa"/>
            <w:gridSpan w:val="6"/>
            <w:shd w:val="clear" w:color="auto" w:fill="auto"/>
          </w:tcPr>
          <w:p w14:paraId="4B5082C2" w14:textId="5F8AA08D" w:rsidR="004E09F8" w:rsidRPr="004E09F8" w:rsidRDefault="009447D5" w:rsidP="001D2563">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Titlul actului normativ naţional</w:t>
            </w:r>
            <w:r w:rsidR="00F913A9" w:rsidRPr="009F6847">
              <w:rPr>
                <w:rFonts w:ascii="Times New Roman" w:hAnsi="Times New Roman"/>
                <w:b/>
                <w:bCs/>
                <w:sz w:val="20"/>
                <w:szCs w:val="20"/>
                <w:lang w:val="ro-RO"/>
              </w:rPr>
              <w:t>:</w:t>
            </w:r>
            <w:r w:rsidR="003D20CB" w:rsidRPr="000C0DDA">
              <w:rPr>
                <w:rFonts w:ascii="Times New Roman" w:hAnsi="Times New Roman"/>
                <w:b/>
                <w:sz w:val="20"/>
                <w:szCs w:val="20"/>
                <w:lang w:val="ro-RO"/>
              </w:rPr>
              <w:t xml:space="preserve"> </w:t>
            </w:r>
            <w:r w:rsidR="004E09F8" w:rsidRPr="000C0DDA">
              <w:rPr>
                <w:rFonts w:ascii="Times New Roman" w:hAnsi="Times New Roman"/>
                <w:b/>
                <w:bCs/>
                <w:color w:val="000000" w:themeColor="text1"/>
                <w:sz w:val="20"/>
                <w:szCs w:val="20"/>
                <w:lang w:val="ro-RO"/>
              </w:rPr>
              <w:t>Proiect de Hotărâre de Guvern</w:t>
            </w:r>
            <w:r w:rsidR="004E09F8" w:rsidRPr="004E09F8">
              <w:rPr>
                <w:rFonts w:ascii="Times New Roman" w:eastAsia="Times New Roman" w:hAnsi="Times New Roman"/>
                <w:b/>
                <w:bCs/>
                <w:iCs/>
                <w:color w:val="000000" w:themeColor="text1"/>
                <w:sz w:val="20"/>
                <w:szCs w:val="20"/>
                <w:lang w:val="ro-RO"/>
              </w:rPr>
              <w:t xml:space="preserve"> cu privire la modificarea </w:t>
            </w:r>
            <w:r w:rsidR="004E09F8" w:rsidRPr="000C0DDA">
              <w:rPr>
                <w:rFonts w:ascii="Times New Roman" w:hAnsi="Times New Roman"/>
                <w:b/>
                <w:bCs/>
                <w:color w:val="000000" w:themeColor="text1"/>
                <w:sz w:val="20"/>
                <w:szCs w:val="20"/>
                <w:lang w:val="ro-RO"/>
              </w:rPr>
              <w:t>Hotărârii Guvernului nr. 750 /2016 pentru aprobarea regulamentelor privind cerințele în materie de proiectare ecologică aplicabile</w:t>
            </w:r>
            <w:r w:rsidR="0070658F" w:rsidRPr="000C0DDA">
              <w:rPr>
                <w:rFonts w:ascii="Times New Roman" w:eastAsia="Arial Unicode MS" w:hAnsi="Times New Roman"/>
                <w:b/>
                <w:bCs/>
                <w:color w:val="000000" w:themeColor="text1"/>
                <w:sz w:val="20"/>
                <w:szCs w:val="20"/>
                <w:shd w:val="clear" w:color="auto" w:fill="FFFFFF"/>
                <w:lang w:val="ro-RO"/>
              </w:rPr>
              <w:t xml:space="preserve"> produselor cu impact energetic</w:t>
            </w:r>
            <w:r w:rsidR="004E09F8" w:rsidRPr="000C0DDA">
              <w:rPr>
                <w:rFonts w:ascii="Times New Roman" w:hAnsi="Times New Roman"/>
                <w:b/>
                <w:bCs/>
                <w:color w:val="000000" w:themeColor="text1"/>
                <w:sz w:val="20"/>
                <w:szCs w:val="20"/>
                <w:lang w:val="ro-RO"/>
              </w:rPr>
              <w:t xml:space="preserve">, prin aprobarea </w:t>
            </w:r>
            <w:r w:rsidR="004E09F8" w:rsidRPr="004E09F8">
              <w:rPr>
                <w:rFonts w:ascii="Times New Roman" w:hAnsi="Times New Roman"/>
                <w:b/>
                <w:bCs/>
                <w:color w:val="000000"/>
                <w:sz w:val="20"/>
                <w:szCs w:val="20"/>
                <w:lang w:val="it-IT"/>
              </w:rPr>
              <w:t xml:space="preserve">Regulamentul cu privire la cerințele de proiectare ecologică </w:t>
            </w:r>
            <w:r w:rsidR="001D2563">
              <w:t xml:space="preserve"> </w:t>
            </w:r>
            <w:r w:rsidR="001D2563" w:rsidRPr="001D2563">
              <w:rPr>
                <w:rFonts w:ascii="Times New Roman" w:hAnsi="Times New Roman"/>
                <w:b/>
                <w:bCs/>
                <w:color w:val="000000"/>
                <w:sz w:val="20"/>
                <w:szCs w:val="20"/>
                <w:lang w:val="it-IT"/>
              </w:rPr>
              <w:t xml:space="preserve">aplicabile pompelor de circulație fără etanșare independente și pompelor de circulație fără etanșare integrate în produse  </w:t>
            </w:r>
            <w:bookmarkStart w:id="1" w:name="_GoBack"/>
            <w:bookmarkEnd w:id="1"/>
          </w:p>
        </w:tc>
      </w:tr>
      <w:tr w:rsidR="008F4FF1" w:rsidRPr="000C0DDA" w14:paraId="0A96379A" w14:textId="77777777" w:rsidTr="00565581">
        <w:trPr>
          <w:trHeight w:val="215"/>
        </w:trPr>
        <w:tc>
          <w:tcPr>
            <w:tcW w:w="15067" w:type="dxa"/>
            <w:gridSpan w:val="6"/>
            <w:shd w:val="clear" w:color="auto" w:fill="auto"/>
          </w:tcPr>
          <w:p w14:paraId="435AB9C9" w14:textId="2962B029" w:rsidR="009447D5" w:rsidRPr="00D76C1D" w:rsidRDefault="009447D5" w:rsidP="00D318C2">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BB3085">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5FC2521C" w14:textId="1E5FEA97" w:rsidR="000E41E8" w:rsidRPr="000E41E8" w:rsidRDefault="00C43796" w:rsidP="000E41E8">
            <w:pPr>
              <w:shd w:val="clear" w:color="auto" w:fill="FFFFFF"/>
              <w:spacing w:after="0" w:line="240" w:lineRule="auto"/>
              <w:rPr>
                <w:rFonts w:ascii="Times New Roman" w:eastAsia="Arial Unicode MS" w:hAnsi="Times New Roman"/>
                <w:i/>
                <w:iCs/>
                <w:color w:val="000000" w:themeColor="text1"/>
                <w:sz w:val="20"/>
                <w:szCs w:val="20"/>
                <w:shd w:val="clear" w:color="auto" w:fill="FFFFFF"/>
              </w:rPr>
            </w:pPr>
            <w:hyperlink r:id="rId8" w:tooltip="32012R0622: REPLACED" w:history="1">
              <w:r w:rsidR="000E41E8" w:rsidRPr="000E41E8">
                <w:rPr>
                  <w:rStyle w:val="Hyperlink"/>
                  <w:rFonts w:ascii="Times New Roman" w:eastAsia="Arial Unicode MS" w:hAnsi="Times New Roman"/>
                  <w:b/>
                  <w:bCs/>
                  <w:color w:val="23527C"/>
                  <w:sz w:val="20"/>
                  <w:szCs w:val="20"/>
                  <w:shd w:val="clear" w:color="auto" w:fill="FFFFFF"/>
                </w:rPr>
                <w:t>▼M1</w:t>
              </w:r>
            </w:hyperlink>
          </w:p>
          <w:p w14:paraId="6AAE1C5E" w14:textId="2DC7A99A" w:rsidR="000921E9" w:rsidRPr="00401976" w:rsidRDefault="00F241C5" w:rsidP="00112048">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rPr>
            </w:pPr>
            <w:r w:rsidRPr="00401976">
              <w:rPr>
                <w:rFonts w:ascii="Times New Roman" w:eastAsia="Arial Unicode MS" w:hAnsi="Times New Roman"/>
                <w:i/>
                <w:iCs/>
                <w:color w:val="000000" w:themeColor="text1"/>
                <w:sz w:val="20"/>
                <w:szCs w:val="20"/>
                <w:shd w:val="clear" w:color="auto" w:fill="FFFFFF"/>
              </w:rPr>
              <w:t>Articolul 1</w:t>
            </w:r>
          </w:p>
          <w:p w14:paraId="1E1114FC" w14:textId="77777777" w:rsidR="00F241C5" w:rsidRPr="000469A9" w:rsidRDefault="006142B2" w:rsidP="000469A9">
            <w:pPr>
              <w:shd w:val="clear" w:color="auto" w:fill="FFFFFF"/>
              <w:spacing w:after="0" w:line="240" w:lineRule="auto"/>
              <w:jc w:val="center"/>
              <w:rPr>
                <w:rFonts w:ascii="Times New Roman" w:eastAsia="Arial Unicode MS" w:hAnsi="Times New Roman"/>
                <w:color w:val="000000" w:themeColor="text1"/>
                <w:sz w:val="20"/>
                <w:szCs w:val="20"/>
                <w:shd w:val="clear" w:color="auto" w:fill="FFFFFF"/>
              </w:rPr>
            </w:pPr>
            <w:r w:rsidRPr="000469A9">
              <w:rPr>
                <w:rFonts w:ascii="Times New Roman" w:eastAsia="Arial Unicode MS" w:hAnsi="Times New Roman"/>
                <w:color w:val="000000" w:themeColor="text1"/>
                <w:sz w:val="20"/>
                <w:szCs w:val="20"/>
                <w:shd w:val="clear" w:color="auto" w:fill="FFFFFF"/>
              </w:rPr>
              <w:t>Obiect și domeniu de aplicare</w:t>
            </w:r>
          </w:p>
          <w:p w14:paraId="3D9FECD0" w14:textId="77777777" w:rsidR="000C0DDA" w:rsidRPr="000469A9" w:rsidRDefault="006142B2">
            <w:pPr>
              <w:pStyle w:val="ListParagraph"/>
              <w:numPr>
                <w:ilvl w:val="0"/>
                <w:numId w:val="2"/>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rPr>
            </w:pPr>
            <w:r w:rsidRPr="000469A9">
              <w:rPr>
                <w:rFonts w:ascii="Times New Roman" w:eastAsia="Arial Unicode MS" w:hAnsi="Times New Roman"/>
                <w:color w:val="000000" w:themeColor="text1"/>
                <w:sz w:val="20"/>
                <w:szCs w:val="20"/>
                <w:shd w:val="clear" w:color="auto" w:fill="FFFFFF"/>
              </w:rPr>
              <w:t>Prezentul regulament stabilește cerințele de proiectare ecologică pentru comercializarea pompelor de circulație fără etanșare independente și a pompelor de circulație fără etanșare integrate în produse.</w:t>
            </w:r>
          </w:p>
          <w:p w14:paraId="0A6BA1AE" w14:textId="7FBE2BB6" w:rsidR="006142B2" w:rsidRPr="000469A9" w:rsidRDefault="009A06CA">
            <w:pPr>
              <w:pStyle w:val="ListParagraph"/>
              <w:numPr>
                <w:ilvl w:val="0"/>
                <w:numId w:val="2"/>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Prezentul regulament nu se aplică:</w:t>
            </w:r>
          </w:p>
          <w:p w14:paraId="1FE9C280" w14:textId="77777777" w:rsidR="000C0DDA" w:rsidRPr="000469A9" w:rsidRDefault="005E2DEC">
            <w:pPr>
              <w:pStyle w:val="norm"/>
              <w:numPr>
                <w:ilvl w:val="0"/>
                <w:numId w:val="3"/>
              </w:numPr>
              <w:shd w:val="clear" w:color="auto" w:fill="FFFFFF"/>
              <w:spacing w:before="0" w:beforeAutospacing="0" w:after="0" w:afterAutospacing="0"/>
              <w:jc w:val="both"/>
              <w:rPr>
                <w:rFonts w:eastAsia="Arial Unicode MS"/>
                <w:color w:val="000000" w:themeColor="text1"/>
                <w:sz w:val="20"/>
                <w:szCs w:val="20"/>
              </w:rPr>
            </w:pPr>
            <w:r w:rsidRPr="000469A9">
              <w:rPr>
                <w:rFonts w:eastAsia="Arial Unicode MS"/>
                <w:color w:val="000000" w:themeColor="text1"/>
                <w:sz w:val="20"/>
                <w:szCs w:val="20"/>
              </w:rPr>
              <w:t>pompelor de circulație pentru apă potabilă, cu excepția cerințelor privind informațiile despre produs, prevăzute la punctul 2 subpunctul 1 litera (d) din anexa I;</w:t>
            </w:r>
          </w:p>
          <w:p w14:paraId="31C4484C" w14:textId="77777777" w:rsidR="000C0DDA" w:rsidRDefault="00C43796" w:rsidP="000C0DDA">
            <w:pPr>
              <w:pStyle w:val="norm"/>
              <w:shd w:val="clear" w:color="auto" w:fill="FFFFFF"/>
              <w:spacing w:before="0" w:beforeAutospacing="0" w:after="0" w:afterAutospacing="0"/>
              <w:ind w:left="720"/>
              <w:jc w:val="both"/>
              <w:rPr>
                <w:rStyle w:val="Hyperlink"/>
                <w:rFonts w:eastAsia="Arial Unicode MS"/>
                <w:b/>
                <w:bCs/>
                <w:color w:val="23527C"/>
                <w:sz w:val="20"/>
                <w:szCs w:val="20"/>
                <w:shd w:val="clear" w:color="auto" w:fill="FFFFFF"/>
              </w:rPr>
            </w:pPr>
            <w:hyperlink r:id="rId9" w:tooltip="32019R1781: REPLACED" w:history="1">
              <w:r w:rsidR="005E2DEC" w:rsidRPr="000C0DDA">
                <w:rPr>
                  <w:rStyle w:val="Hyperlink"/>
                  <w:rFonts w:eastAsia="Arial Unicode MS"/>
                  <w:b/>
                  <w:bCs/>
                  <w:color w:val="23527C"/>
                  <w:sz w:val="20"/>
                  <w:szCs w:val="20"/>
                  <w:shd w:val="clear" w:color="auto" w:fill="FFFFFF"/>
                </w:rPr>
                <w:t>▼M3</w:t>
              </w:r>
            </w:hyperlink>
          </w:p>
          <w:p w14:paraId="357E9D1A" w14:textId="0255D475" w:rsidR="005E2DEC" w:rsidRPr="000C0DDA" w:rsidRDefault="005E2DEC">
            <w:pPr>
              <w:pStyle w:val="norm"/>
              <w:numPr>
                <w:ilvl w:val="0"/>
                <w:numId w:val="3"/>
              </w:numPr>
              <w:shd w:val="clear" w:color="auto" w:fill="FFFFFF"/>
              <w:spacing w:before="0" w:beforeAutospacing="0" w:after="0" w:afterAutospacing="0"/>
              <w:jc w:val="both"/>
              <w:rPr>
                <w:rFonts w:eastAsia="Arial Unicode MS"/>
                <w:sz w:val="20"/>
                <w:szCs w:val="20"/>
              </w:rPr>
            </w:pPr>
            <w:r w:rsidRPr="000C0DDA">
              <w:rPr>
                <w:rFonts w:eastAsia="Arial Unicode MS"/>
                <w:sz w:val="20"/>
                <w:szCs w:val="20"/>
              </w:rPr>
              <w:t>pompele de circulație integrate în produse și introduse pe piață nu mai târziu de 1 ianuarie 2022 ca înlocuitoare pentru pompe de circulație identice integrate în produse și introduse pe piață nu mai târziu de 1 august 2015 și comercializate în mod special ca atare, cu excepția cerințelor privind informațiile despre produs de la punctul 2 subpunctul 1 litera (e) din anexa I.</w:t>
            </w:r>
          </w:p>
          <w:p w14:paraId="46ABD05A" w14:textId="2DC5535D" w:rsidR="000C0DDA" w:rsidRPr="000C0DDA" w:rsidRDefault="00C43796" w:rsidP="005E2DEC">
            <w:pPr>
              <w:pStyle w:val="norm"/>
              <w:shd w:val="clear" w:color="auto" w:fill="FFFFFF"/>
              <w:spacing w:before="0" w:beforeAutospacing="0" w:after="0" w:afterAutospacing="0"/>
              <w:jc w:val="both"/>
              <w:rPr>
                <w:rFonts w:eastAsia="Arial Unicode MS"/>
                <w:sz w:val="20"/>
                <w:szCs w:val="20"/>
              </w:rPr>
            </w:pPr>
            <w:hyperlink r:id="rId10" w:tooltip="32012R0622: REPLACED" w:history="1">
              <w:r w:rsidR="000C0DDA" w:rsidRPr="00F77CAB">
                <w:rPr>
                  <w:rStyle w:val="Hyperlink"/>
                  <w:rFonts w:eastAsia="Arial Unicode MS"/>
                  <w:b/>
                  <w:bCs/>
                  <w:color w:val="4472C4" w:themeColor="accent1"/>
                  <w:sz w:val="20"/>
                  <w:szCs w:val="20"/>
                  <w:shd w:val="clear" w:color="auto" w:fill="FFFFFF"/>
                </w:rPr>
                <w:t>▼M1</w:t>
              </w:r>
            </w:hyperlink>
          </w:p>
        </w:tc>
        <w:tc>
          <w:tcPr>
            <w:tcW w:w="4394" w:type="dxa"/>
            <w:shd w:val="clear" w:color="auto" w:fill="auto"/>
          </w:tcPr>
          <w:p w14:paraId="62153118" w14:textId="58C2DEDF" w:rsidR="000921E9" w:rsidRPr="00DE5BD8" w:rsidRDefault="000921E9" w:rsidP="00832B2D">
            <w:pPr>
              <w:rPr>
                <w:rFonts w:ascii="Times New Roman" w:eastAsia="Arial Unicode MS" w:hAnsi="Times New Roman"/>
                <w:color w:val="000000"/>
                <w:sz w:val="20"/>
                <w:szCs w:val="20"/>
                <w:shd w:val="clear" w:color="auto" w:fill="FFFFFF"/>
                <w:lang w:val="ro-RO"/>
              </w:rPr>
            </w:pPr>
          </w:p>
        </w:tc>
        <w:tc>
          <w:tcPr>
            <w:tcW w:w="1276" w:type="dxa"/>
            <w:shd w:val="clear" w:color="auto" w:fill="auto"/>
          </w:tcPr>
          <w:p w14:paraId="58C9643E" w14:textId="642F0B9A" w:rsidR="004379C5" w:rsidRPr="00C951E7" w:rsidRDefault="00F30A80" w:rsidP="00F30A80">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p w14:paraId="62094A1F" w14:textId="07CC0AF5" w:rsidR="000921E9" w:rsidRPr="00C951E7" w:rsidRDefault="000921E9" w:rsidP="004379C5">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96D7064" w14:textId="23CE6415" w:rsidR="000921E9" w:rsidRPr="00AF507D" w:rsidRDefault="000921E9" w:rsidP="000921E9">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tc>
        <w:tc>
          <w:tcPr>
            <w:tcW w:w="1701" w:type="dxa"/>
            <w:shd w:val="clear" w:color="auto" w:fill="auto"/>
          </w:tcPr>
          <w:p w14:paraId="167D59BD" w14:textId="0AB9E148" w:rsidR="000921E9" w:rsidRPr="00C951E7" w:rsidRDefault="00832B2D" w:rsidP="00006E3F">
            <w:pPr>
              <w:autoSpaceDE w:val="0"/>
              <w:spacing w:after="0" w:line="240" w:lineRule="auto"/>
              <w:rPr>
                <w:rFonts w:ascii="Times New Roman" w:eastAsia="Times New Roman" w:hAnsi="Times New Roman"/>
                <w:sz w:val="20"/>
                <w:szCs w:val="20"/>
                <w:lang w:val="ro-RO" w:eastAsia="ru-RU"/>
              </w:rPr>
            </w:pPr>
            <w:r w:rsidRPr="00832B2D">
              <w:rPr>
                <w:rFonts w:ascii="Times New Roman" w:eastAsia="Times New Roman" w:hAnsi="Times New Roman"/>
                <w:color w:val="000000" w:themeColor="text1"/>
                <w:sz w:val="20"/>
                <w:szCs w:val="20"/>
                <w:lang w:val="ro-RO" w:eastAsia="ru-RU"/>
              </w:rPr>
              <w:t xml:space="preserve">Obiectul și domeniul de aplicare sunt transpuse </w:t>
            </w:r>
            <w:r w:rsidRPr="00832B2D">
              <w:rPr>
                <w:rFonts w:ascii="Times New Roman" w:eastAsia="Times New Roman" w:hAnsi="Times New Roman"/>
                <w:color w:val="000000" w:themeColor="text1"/>
                <w:sz w:val="20"/>
                <w:szCs w:val="20"/>
                <w:lang w:val="ro-RO" w:eastAsia="ro-RO"/>
              </w:rPr>
              <w:t>în Regulamentul cu privire la cerințele de proiectare ecologică aplicabile 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14D2760B" w14:textId="3E0B0034"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6C611886" w14:textId="77777777" w:rsidR="00340B94" w:rsidRPr="000C0DDA" w:rsidRDefault="000C0DDA" w:rsidP="000C0DDA">
            <w:pPr>
              <w:shd w:val="clear" w:color="auto" w:fill="FFFFFF"/>
              <w:spacing w:after="0" w:line="240" w:lineRule="auto"/>
              <w:jc w:val="center"/>
              <w:rPr>
                <w:rFonts w:ascii="Times New Roman" w:eastAsia="Arial Unicode MS" w:hAnsi="Times New Roman"/>
                <w:i/>
                <w:iCs/>
                <w:color w:val="333333"/>
                <w:sz w:val="20"/>
                <w:szCs w:val="20"/>
                <w:shd w:val="clear" w:color="auto" w:fill="FFFFFF"/>
              </w:rPr>
            </w:pPr>
            <w:r w:rsidRPr="000C0DDA">
              <w:rPr>
                <w:rFonts w:ascii="Times New Roman" w:eastAsia="Arial Unicode MS" w:hAnsi="Times New Roman"/>
                <w:i/>
                <w:iCs/>
                <w:color w:val="333333"/>
                <w:sz w:val="20"/>
                <w:szCs w:val="20"/>
                <w:shd w:val="clear" w:color="auto" w:fill="FFFFFF"/>
              </w:rPr>
              <w:t>Articolul 2</w:t>
            </w:r>
          </w:p>
          <w:p w14:paraId="0F0B30F0" w14:textId="77777777" w:rsidR="000C0DDA" w:rsidRDefault="000C0DDA" w:rsidP="000C0DDA">
            <w:pPr>
              <w:shd w:val="clear" w:color="auto" w:fill="FFFFFF"/>
              <w:spacing w:after="0" w:line="240" w:lineRule="auto"/>
              <w:jc w:val="center"/>
              <w:rPr>
                <w:rFonts w:ascii="Times New Roman" w:eastAsia="Arial Unicode MS" w:hAnsi="Times New Roman"/>
                <w:b/>
                <w:bCs/>
                <w:color w:val="333333"/>
                <w:sz w:val="20"/>
                <w:szCs w:val="20"/>
                <w:shd w:val="clear" w:color="auto" w:fill="FFFFFF"/>
              </w:rPr>
            </w:pPr>
            <w:r w:rsidRPr="000C0DDA">
              <w:rPr>
                <w:rFonts w:ascii="Times New Roman" w:eastAsia="Arial Unicode MS" w:hAnsi="Times New Roman"/>
                <w:b/>
                <w:bCs/>
                <w:color w:val="333333"/>
                <w:sz w:val="20"/>
                <w:szCs w:val="20"/>
                <w:shd w:val="clear" w:color="auto" w:fill="FFFFFF"/>
              </w:rPr>
              <w:t>Definiții</w:t>
            </w:r>
          </w:p>
          <w:p w14:paraId="39D40913" w14:textId="77777777" w:rsidR="000C0DDA" w:rsidRDefault="000C0DDA" w:rsidP="000C0DDA">
            <w:pPr>
              <w:shd w:val="clear" w:color="auto" w:fill="FFFFFF"/>
              <w:spacing w:after="0" w:line="240" w:lineRule="auto"/>
              <w:rPr>
                <w:rFonts w:ascii="Times New Roman" w:eastAsia="Arial Unicode MS" w:hAnsi="Times New Roman"/>
                <w:color w:val="333333"/>
                <w:sz w:val="20"/>
                <w:szCs w:val="20"/>
                <w:shd w:val="clear" w:color="auto" w:fill="FFFFFF"/>
              </w:rPr>
            </w:pPr>
            <w:r w:rsidRPr="000C0DDA">
              <w:rPr>
                <w:rFonts w:ascii="Times New Roman" w:eastAsia="Arial Unicode MS" w:hAnsi="Times New Roman"/>
                <w:color w:val="333333"/>
                <w:sz w:val="20"/>
                <w:szCs w:val="20"/>
                <w:shd w:val="clear" w:color="auto" w:fill="FFFFFF"/>
              </w:rPr>
              <w:t>În sensul prezentului regulament, se aplică următoarele definiții:</w:t>
            </w:r>
          </w:p>
          <w:p w14:paraId="1F6DE754" w14:textId="0CCCAAFE" w:rsidR="000C0DDA" w:rsidRPr="000469A9" w:rsidRDefault="000C0DDA">
            <w:pPr>
              <w:pStyle w:val="ListParagraph"/>
              <w:numPr>
                <w:ilvl w:val="0"/>
                <w:numId w:val="4"/>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rPr>
            </w:pPr>
            <w:r w:rsidRPr="000C0DDA">
              <w:rPr>
                <w:rFonts w:ascii="Times New Roman" w:eastAsia="Arial Unicode MS" w:hAnsi="Times New Roman"/>
                <w:color w:val="333333"/>
                <w:sz w:val="20"/>
                <w:szCs w:val="20"/>
                <w:shd w:val="clear" w:color="auto" w:fill="FFFFFF"/>
              </w:rPr>
              <w:lastRenderedPageBreak/>
              <w:t>„</w:t>
            </w:r>
            <w:r w:rsidRPr="000C0DDA">
              <w:rPr>
                <w:rStyle w:val="italics"/>
                <w:rFonts w:ascii="Times New Roman" w:eastAsia="Arial Unicode MS" w:hAnsi="Times New Roman"/>
                <w:i/>
                <w:iCs/>
                <w:color w:val="333333"/>
                <w:sz w:val="20"/>
                <w:szCs w:val="20"/>
                <w:shd w:val="clear" w:color="auto" w:fill="FFFFFF"/>
              </w:rPr>
              <w:t>pompă de circulație</w:t>
            </w:r>
            <w:r w:rsidRPr="000C0DDA">
              <w:rPr>
                <w:rFonts w:ascii="Times New Roman" w:eastAsia="Arial Unicode MS" w:hAnsi="Times New Roman"/>
                <w:color w:val="333333"/>
                <w:sz w:val="20"/>
                <w:szCs w:val="20"/>
                <w:shd w:val="clear" w:color="auto" w:fill="FFFFFF"/>
              </w:rPr>
              <w:t xml:space="preserve">” înseamnă o pompă cu palete, cu sau fără carcasă, care are o putere </w:t>
            </w:r>
            <w:r w:rsidRPr="000469A9">
              <w:rPr>
                <w:rFonts w:ascii="Times New Roman" w:eastAsia="Arial Unicode MS" w:hAnsi="Times New Roman"/>
                <w:color w:val="000000" w:themeColor="text1"/>
                <w:sz w:val="20"/>
                <w:szCs w:val="20"/>
                <w:shd w:val="clear" w:color="auto" w:fill="FFFFFF"/>
              </w:rPr>
              <w:t>hidraulică de ieșire nominală cuprinsă între 1 W și 2</w:t>
            </w:r>
            <w:r w:rsidR="000469A9">
              <w:rPr>
                <w:rFonts w:ascii="Times New Roman" w:eastAsia="Arial Unicode MS" w:hAnsi="Times New Roman"/>
                <w:color w:val="000000" w:themeColor="text1"/>
                <w:sz w:val="20"/>
                <w:szCs w:val="20"/>
                <w:shd w:val="clear" w:color="auto" w:fill="FFFFFF"/>
              </w:rPr>
              <w:t xml:space="preserve"> </w:t>
            </w:r>
            <w:r w:rsidRPr="000469A9">
              <w:rPr>
                <w:rFonts w:ascii="Times New Roman" w:eastAsia="Arial Unicode MS" w:hAnsi="Times New Roman"/>
                <w:color w:val="000000" w:themeColor="text1"/>
                <w:sz w:val="20"/>
                <w:szCs w:val="20"/>
                <w:shd w:val="clear" w:color="auto" w:fill="FFFFFF"/>
              </w:rPr>
              <w:t>500 W și este proiectată pentru utilizarea în sisteme de încălzire sau în circuitele secundare ale sistemelor de distribuție a agentului de răcire;</w:t>
            </w:r>
          </w:p>
          <w:p w14:paraId="1ADCBA1F" w14:textId="77777777" w:rsidR="000C0DDA" w:rsidRPr="000469A9" w:rsidRDefault="000C0DDA">
            <w:pPr>
              <w:pStyle w:val="ListParagraph"/>
              <w:numPr>
                <w:ilvl w:val="0"/>
                <w:numId w:val="4"/>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rPr>
            </w:pPr>
            <w:r w:rsidRPr="000469A9">
              <w:rPr>
                <w:rFonts w:ascii="Times New Roman" w:eastAsia="Arial Unicode MS" w:hAnsi="Times New Roman"/>
                <w:color w:val="000000" w:themeColor="text1"/>
                <w:sz w:val="20"/>
                <w:szCs w:val="20"/>
                <w:shd w:val="clear" w:color="auto" w:fill="FFFFFF"/>
              </w:rPr>
              <w:t>„</w:t>
            </w:r>
            <w:r w:rsidRPr="000469A9">
              <w:rPr>
                <w:rStyle w:val="italics"/>
                <w:rFonts w:ascii="Times New Roman" w:eastAsia="Arial Unicode MS" w:hAnsi="Times New Roman"/>
                <w:i/>
                <w:iCs/>
                <w:color w:val="000000" w:themeColor="text1"/>
                <w:sz w:val="20"/>
                <w:szCs w:val="20"/>
                <w:shd w:val="clear" w:color="auto" w:fill="FFFFFF"/>
              </w:rPr>
              <w:t>pompă de circulație fără etanșare</w:t>
            </w:r>
            <w:r w:rsidRPr="000469A9">
              <w:rPr>
                <w:rFonts w:ascii="Times New Roman" w:eastAsia="Arial Unicode MS" w:hAnsi="Times New Roman"/>
                <w:color w:val="000000" w:themeColor="text1"/>
                <w:sz w:val="20"/>
                <w:szCs w:val="20"/>
                <w:shd w:val="clear" w:color="auto" w:fill="FFFFFF"/>
              </w:rPr>
              <w:t>” înseamnă o pompă de circulație al cărei rotor este cuplat direct cu discul cu palete și este imersat în fluidul pompat;</w:t>
            </w:r>
          </w:p>
          <w:p w14:paraId="4135F25F" w14:textId="77777777" w:rsidR="00404625" w:rsidRPr="000469A9" w:rsidRDefault="000C0DDA">
            <w:pPr>
              <w:pStyle w:val="ListParagraph"/>
              <w:numPr>
                <w:ilvl w:val="0"/>
                <w:numId w:val="4"/>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w:t>
            </w:r>
            <w:r w:rsidRPr="000469A9">
              <w:rPr>
                <w:rStyle w:val="italics"/>
                <w:rFonts w:ascii="Times New Roman" w:eastAsia="Arial Unicode MS" w:hAnsi="Times New Roman"/>
                <w:i/>
                <w:iCs/>
                <w:color w:val="000000" w:themeColor="text1"/>
                <w:sz w:val="20"/>
                <w:szCs w:val="20"/>
                <w:shd w:val="clear" w:color="auto" w:fill="FFFFFF"/>
                <w:lang w:val="fr-FR"/>
              </w:rPr>
              <w:t>pompă de circulație independentă</w:t>
            </w:r>
            <w:r w:rsidRPr="000469A9">
              <w:rPr>
                <w:rFonts w:ascii="Times New Roman" w:eastAsia="Arial Unicode MS" w:hAnsi="Times New Roman"/>
                <w:color w:val="000000" w:themeColor="text1"/>
                <w:sz w:val="20"/>
                <w:szCs w:val="20"/>
                <w:shd w:val="clear" w:color="auto" w:fill="FFFFFF"/>
                <w:lang w:val="fr-FR"/>
              </w:rPr>
              <w:t>” înseamnă o pompă de circulație proiectată să funcționeze independent de produs;</w:t>
            </w:r>
          </w:p>
          <w:p w14:paraId="45F9C69F" w14:textId="77777777" w:rsidR="00404625" w:rsidRPr="000469A9" w:rsidRDefault="00404625">
            <w:pPr>
              <w:pStyle w:val="ListParagraph"/>
              <w:numPr>
                <w:ilvl w:val="0"/>
                <w:numId w:val="4"/>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w:t>
            </w:r>
            <w:r w:rsidRPr="000469A9">
              <w:rPr>
                <w:rStyle w:val="italics"/>
                <w:rFonts w:ascii="Times New Roman" w:eastAsia="Arial Unicode MS" w:hAnsi="Times New Roman"/>
                <w:i/>
                <w:iCs/>
                <w:color w:val="000000" w:themeColor="text1"/>
                <w:sz w:val="20"/>
                <w:szCs w:val="20"/>
                <w:shd w:val="clear" w:color="auto" w:fill="FFFFFF"/>
                <w:lang w:val="fr-FR"/>
              </w:rPr>
              <w:t>produs</w:t>
            </w:r>
            <w:r w:rsidRPr="000469A9">
              <w:rPr>
                <w:rFonts w:ascii="Times New Roman" w:eastAsia="Arial Unicode MS" w:hAnsi="Times New Roman"/>
                <w:color w:val="000000" w:themeColor="text1"/>
                <w:sz w:val="20"/>
                <w:szCs w:val="20"/>
                <w:shd w:val="clear" w:color="auto" w:fill="FFFFFF"/>
                <w:lang w:val="fr-FR"/>
              </w:rPr>
              <w:t>” înseamnă un dispozitiv care generează și/sau transferă căldură;</w:t>
            </w:r>
          </w:p>
          <w:p w14:paraId="60921C08" w14:textId="77777777" w:rsidR="00404625" w:rsidRPr="000469A9" w:rsidRDefault="00404625">
            <w:pPr>
              <w:pStyle w:val="ListParagraph"/>
              <w:numPr>
                <w:ilvl w:val="0"/>
                <w:numId w:val="4"/>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w:t>
            </w:r>
            <w:r w:rsidRPr="000469A9">
              <w:rPr>
                <w:rStyle w:val="italics"/>
                <w:rFonts w:ascii="Times New Roman" w:eastAsia="Arial Unicode MS" w:hAnsi="Times New Roman"/>
                <w:i/>
                <w:iCs/>
                <w:color w:val="000000" w:themeColor="text1"/>
                <w:sz w:val="20"/>
                <w:szCs w:val="20"/>
                <w:shd w:val="clear" w:color="auto" w:fill="FFFFFF"/>
                <w:lang w:val="fr-FR"/>
              </w:rPr>
              <w:t>pompă de circulație integrată în produs</w:t>
            </w:r>
            <w:r w:rsidRPr="000469A9">
              <w:rPr>
                <w:rFonts w:ascii="Times New Roman" w:eastAsia="Arial Unicode MS" w:hAnsi="Times New Roman"/>
                <w:color w:val="000000" w:themeColor="text1"/>
                <w:sz w:val="20"/>
                <w:szCs w:val="20"/>
                <w:shd w:val="clear" w:color="auto" w:fill="FFFFFF"/>
                <w:lang w:val="fr-FR"/>
              </w:rPr>
              <w:t>” înseamnă o pompă de circulație proiectată să funcționeze ca parte a unui produs și care are, prin proiect, cel puțin una din următoarele caracteristici:</w:t>
            </w:r>
          </w:p>
          <w:p w14:paraId="1A7B488B" w14:textId="7609E5DD" w:rsidR="00404625" w:rsidRPr="000469A9" w:rsidRDefault="00404625">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carcasa pompei este proiectată pentru a fi montată și utilizată în interiorul produsului;</w:t>
            </w:r>
          </w:p>
          <w:p w14:paraId="06104C5B" w14:textId="0331ECC1" w:rsidR="00404625" w:rsidRPr="000469A9" w:rsidRDefault="00404625">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pompa de circulație este proiectată astfel încât viteza acesteia să fie controlată de produs;</w:t>
            </w:r>
          </w:p>
          <w:p w14:paraId="30ACAA7D" w14:textId="7EF2A379" w:rsidR="00404625" w:rsidRPr="000469A9" w:rsidRDefault="00404625">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caracteristicile de siguranță conform proiectului ale pompei de circulație (clasele IP ISO) nu sunt adecvate pentru funcționarea independentă;</w:t>
            </w:r>
          </w:p>
          <w:p w14:paraId="0EFE3E83" w14:textId="5A4E1EDE" w:rsidR="00404625" w:rsidRPr="000469A9" w:rsidRDefault="00404625">
            <w:pPr>
              <w:pStyle w:val="ListParagraph"/>
              <w:numPr>
                <w:ilvl w:val="0"/>
                <w:numId w:val="5"/>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pompa de circulație este inclusă în procesul de omologare a produsului sau de marcare CE a produsului;</w:t>
            </w:r>
          </w:p>
          <w:p w14:paraId="3117D079" w14:textId="7073A31B" w:rsidR="00404625" w:rsidRPr="000469A9" w:rsidRDefault="00404625">
            <w:pPr>
              <w:pStyle w:val="ListParagraph"/>
              <w:numPr>
                <w:ilvl w:val="0"/>
                <w:numId w:val="4"/>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w:t>
            </w:r>
            <w:r w:rsidRPr="000469A9">
              <w:rPr>
                <w:rStyle w:val="italics"/>
                <w:rFonts w:ascii="Times New Roman" w:eastAsia="Arial Unicode MS" w:hAnsi="Times New Roman"/>
                <w:i/>
                <w:iCs/>
                <w:color w:val="000000" w:themeColor="text1"/>
                <w:sz w:val="20"/>
                <w:szCs w:val="20"/>
                <w:shd w:val="clear" w:color="auto" w:fill="FFFFFF"/>
                <w:lang w:val="fr-FR"/>
              </w:rPr>
              <w:t>pompă de circulație pentru apă potabilă</w:t>
            </w:r>
            <w:r w:rsidRPr="000469A9">
              <w:rPr>
                <w:rFonts w:ascii="Times New Roman" w:eastAsia="Arial Unicode MS" w:hAnsi="Times New Roman"/>
                <w:color w:val="000000" w:themeColor="text1"/>
                <w:sz w:val="20"/>
                <w:szCs w:val="20"/>
                <w:shd w:val="clear" w:color="auto" w:fill="FFFFFF"/>
                <w:lang w:val="fr-FR"/>
              </w:rPr>
              <w:t>” înseamnă o pompă de circulație proiectată special pentru utilizare la recircularea apei destinate consumului uman, definită la articolul 2 din Directiva 98/83/CE a Consiliului</w:t>
            </w:r>
            <w:r w:rsidR="000469A9" w:rsidRPr="000469A9">
              <w:rPr>
                <w:rFonts w:ascii="Times New Roman" w:eastAsia="Arial Unicode MS" w:hAnsi="Times New Roman"/>
                <w:color w:val="000000" w:themeColor="text1"/>
                <w:sz w:val="20"/>
                <w:szCs w:val="20"/>
                <w:shd w:val="clear" w:color="auto" w:fill="FFFFFF"/>
                <w:lang w:val="fr-FR"/>
              </w:rPr>
              <w:t xml:space="preserve"> </w:t>
            </w:r>
            <w:r w:rsidRPr="000469A9">
              <w:rPr>
                <w:rFonts w:ascii="Times New Roman" w:eastAsia="Arial Unicode MS" w:hAnsi="Times New Roman"/>
                <w:color w:val="000000" w:themeColor="text1"/>
                <w:sz w:val="20"/>
                <w:szCs w:val="20"/>
                <w:shd w:val="clear" w:color="auto" w:fill="FFFFFF"/>
                <w:lang w:val="fr-FR"/>
              </w:rPr>
              <w:t>(</w:t>
            </w:r>
            <w:hyperlink r:id="rId11" w:anchor="E0001" w:history="1">
              <w:r w:rsidRPr="000469A9">
                <w:rPr>
                  <w:rStyle w:val="superscript"/>
                  <w:rFonts w:ascii="Times New Roman" w:eastAsia="Arial Unicode MS" w:hAnsi="Times New Roman"/>
                  <w:color w:val="000000" w:themeColor="text1"/>
                  <w:sz w:val="20"/>
                  <w:szCs w:val="20"/>
                  <w:shd w:val="clear" w:color="auto" w:fill="FFFFFF"/>
                  <w:vertAlign w:val="superscript"/>
                  <w:lang w:val="fr-FR"/>
                </w:rPr>
                <w:t>*1</w:t>
              </w:r>
            </w:hyperlink>
            <w:r w:rsidRPr="000469A9">
              <w:rPr>
                <w:rFonts w:ascii="Times New Roman" w:eastAsia="Arial Unicode MS" w:hAnsi="Times New Roman"/>
                <w:color w:val="000000" w:themeColor="text1"/>
                <w:sz w:val="20"/>
                <w:szCs w:val="20"/>
                <w:shd w:val="clear" w:color="auto" w:fill="FFFFFF"/>
                <w:lang w:val="fr-FR"/>
              </w:rPr>
              <w:t>);</w:t>
            </w:r>
          </w:p>
          <w:p w14:paraId="00FF6BC4" w14:textId="77777777" w:rsidR="00404625" w:rsidRPr="000469A9" w:rsidRDefault="00404625">
            <w:pPr>
              <w:pStyle w:val="ListParagraph"/>
              <w:numPr>
                <w:ilvl w:val="0"/>
                <w:numId w:val="4"/>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fr-FR"/>
              </w:rPr>
            </w:pPr>
            <w:r w:rsidRPr="000469A9">
              <w:rPr>
                <w:rFonts w:ascii="Times New Roman" w:eastAsia="Arial Unicode MS" w:hAnsi="Times New Roman"/>
                <w:color w:val="000000" w:themeColor="text1"/>
                <w:sz w:val="20"/>
                <w:szCs w:val="20"/>
                <w:shd w:val="clear" w:color="auto" w:fill="FFFFFF"/>
                <w:lang w:val="fr-FR"/>
              </w:rPr>
              <w:t>„</w:t>
            </w:r>
            <w:r w:rsidRPr="000469A9">
              <w:rPr>
                <w:rStyle w:val="italics"/>
                <w:rFonts w:ascii="Times New Roman" w:eastAsia="Arial Unicode MS" w:hAnsi="Times New Roman"/>
                <w:i/>
                <w:iCs/>
                <w:color w:val="000000" w:themeColor="text1"/>
                <w:sz w:val="20"/>
                <w:szCs w:val="20"/>
                <w:shd w:val="clear" w:color="auto" w:fill="FFFFFF"/>
                <w:lang w:val="fr-FR"/>
              </w:rPr>
              <w:t>carcasa pompei</w:t>
            </w:r>
            <w:r w:rsidRPr="000469A9">
              <w:rPr>
                <w:rFonts w:ascii="Times New Roman" w:eastAsia="Arial Unicode MS" w:hAnsi="Times New Roman"/>
                <w:color w:val="000000" w:themeColor="text1"/>
                <w:sz w:val="20"/>
                <w:szCs w:val="20"/>
                <w:shd w:val="clear" w:color="auto" w:fill="FFFFFF"/>
                <w:lang w:val="fr-FR"/>
              </w:rPr>
              <w:t>” înseamnă partea pompei cu palete destinată racordării la conductele sistemelor de încălzire sau la conductele circuitelor secundare ale sistemului de distribuție a agentului de răcire.</w:t>
            </w:r>
          </w:p>
          <w:p w14:paraId="0A44537B" w14:textId="02F9D2C5" w:rsidR="00404625" w:rsidRPr="00404625" w:rsidRDefault="00C43796" w:rsidP="00404625">
            <w:pPr>
              <w:shd w:val="clear" w:color="auto" w:fill="FFFFFF"/>
              <w:spacing w:after="0" w:line="240" w:lineRule="auto"/>
              <w:rPr>
                <w:rFonts w:ascii="Times New Roman" w:eastAsia="Arial Unicode MS" w:hAnsi="Times New Roman"/>
                <w:color w:val="333333"/>
                <w:sz w:val="20"/>
                <w:szCs w:val="20"/>
                <w:shd w:val="clear" w:color="auto" w:fill="FFFFFF"/>
                <w:lang w:val="fr-FR"/>
              </w:rPr>
            </w:pPr>
            <w:hyperlink r:id="rId12" w:tooltip="32009R0641" w:history="1">
              <w:r w:rsidR="00404625" w:rsidRPr="00F77CAB">
                <w:rPr>
                  <w:rStyle w:val="Hyperlink"/>
                  <w:rFonts w:ascii="Times New Roman" w:eastAsia="Arial Unicode MS" w:hAnsi="Times New Roman"/>
                  <w:b/>
                  <w:bCs/>
                  <w:color w:val="4472C4" w:themeColor="accent1"/>
                  <w:sz w:val="20"/>
                  <w:szCs w:val="20"/>
                  <w:shd w:val="clear" w:color="auto" w:fill="FFFFFF"/>
                </w:rPr>
                <w:t>▼B</w:t>
              </w:r>
            </w:hyperlink>
          </w:p>
        </w:tc>
        <w:tc>
          <w:tcPr>
            <w:tcW w:w="4394" w:type="dxa"/>
            <w:shd w:val="clear" w:color="auto" w:fill="auto"/>
          </w:tcPr>
          <w:p w14:paraId="7A434004" w14:textId="5EF6C850" w:rsidR="008E69D1" w:rsidRPr="000E3DBA" w:rsidRDefault="008E69D1" w:rsidP="00832B2D">
            <w:pPr>
              <w:rPr>
                <w:rFonts w:ascii="Times New Roman" w:hAnsi="Times New Roman"/>
                <w:sz w:val="20"/>
                <w:szCs w:val="20"/>
                <w:lang w:val="ro-RO"/>
              </w:rPr>
            </w:pPr>
          </w:p>
        </w:tc>
        <w:tc>
          <w:tcPr>
            <w:tcW w:w="1276" w:type="dxa"/>
            <w:shd w:val="clear" w:color="auto" w:fill="auto"/>
          </w:tcPr>
          <w:p w14:paraId="7BDD0E80" w14:textId="6A82327E" w:rsidR="00F30A80" w:rsidRPr="00C951E7" w:rsidRDefault="00F30A80" w:rsidP="00F30A80">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p w14:paraId="00FBCB59" w14:textId="3C3247E1" w:rsidR="008E69D1" w:rsidRPr="00C951E7" w:rsidRDefault="008E69D1" w:rsidP="004379C5">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35E15213" w:rsidR="00AC24A4" w:rsidRPr="00AC24A4" w:rsidRDefault="00832B2D"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Definițiile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 xml:space="preserve">în Regulamentul cu privire la cerințele de proiectare </w:t>
            </w:r>
            <w:r w:rsidRPr="00832B2D">
              <w:rPr>
                <w:rFonts w:ascii="Times New Roman" w:eastAsia="Times New Roman" w:hAnsi="Times New Roman"/>
                <w:color w:val="000000" w:themeColor="text1"/>
                <w:sz w:val="20"/>
                <w:szCs w:val="20"/>
                <w:lang w:val="ro-RO" w:eastAsia="ro-RO"/>
              </w:rPr>
              <w:lastRenderedPageBreak/>
              <w:t>ecologică aplicabile 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5196A4DC" w14:textId="47138D6D" w:rsidR="000A3C73" w:rsidRPr="003F755D" w:rsidRDefault="000A3C73" w:rsidP="000A3C73">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462A92" w:rsidRPr="00462A92" w14:paraId="47C5FE1B" w14:textId="77777777" w:rsidTr="00340B94">
        <w:trPr>
          <w:trHeight w:val="558"/>
        </w:trPr>
        <w:tc>
          <w:tcPr>
            <w:tcW w:w="4957" w:type="dxa"/>
            <w:shd w:val="clear" w:color="auto" w:fill="auto"/>
          </w:tcPr>
          <w:p w14:paraId="5B29CA0E" w14:textId="77777777" w:rsidR="0052119D" w:rsidRPr="0007113F" w:rsidRDefault="00404625" w:rsidP="00404625">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7113F">
              <w:rPr>
                <w:rFonts w:eastAsia="Arial Unicode MS"/>
                <w:i/>
                <w:iCs/>
                <w:color w:val="333333"/>
                <w:sz w:val="20"/>
                <w:szCs w:val="20"/>
                <w:shd w:val="clear" w:color="auto" w:fill="FFFFFF"/>
                <w:lang w:val="en-US"/>
              </w:rPr>
              <w:lastRenderedPageBreak/>
              <w:t>Articolul 3</w:t>
            </w:r>
          </w:p>
          <w:p w14:paraId="57974DD6" w14:textId="77777777" w:rsidR="00404625" w:rsidRPr="0007113F" w:rsidRDefault="00404625" w:rsidP="00404625">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07113F">
              <w:rPr>
                <w:rFonts w:eastAsia="Arial Unicode MS"/>
                <w:b/>
                <w:bCs/>
                <w:color w:val="333333"/>
                <w:sz w:val="20"/>
                <w:szCs w:val="20"/>
                <w:shd w:val="clear" w:color="auto" w:fill="FFFFFF"/>
                <w:lang w:val="en-US"/>
              </w:rPr>
              <w:t>Cerințe de proiectare ecologică</w:t>
            </w:r>
          </w:p>
          <w:p w14:paraId="450B841F" w14:textId="77777777" w:rsidR="00404625" w:rsidRPr="000469A9" w:rsidRDefault="00404625"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fr-FR"/>
              </w:rPr>
            </w:pPr>
            <w:r w:rsidRPr="000469A9">
              <w:rPr>
                <w:rFonts w:eastAsia="Arial Unicode MS"/>
                <w:color w:val="000000" w:themeColor="text1"/>
                <w:sz w:val="20"/>
                <w:szCs w:val="20"/>
                <w:shd w:val="clear" w:color="auto" w:fill="FFFFFF"/>
                <w:lang w:val="fr-FR"/>
              </w:rPr>
              <w:t>Cerințele de proiectare ecologică pentru pompele de circulație sunt stabilite în anexa I.</w:t>
            </w:r>
          </w:p>
          <w:p w14:paraId="4C727070" w14:textId="77777777" w:rsidR="00404625" w:rsidRPr="000469A9" w:rsidRDefault="00404625"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fr-FR"/>
              </w:rPr>
            </w:pPr>
            <w:r w:rsidRPr="000469A9">
              <w:rPr>
                <w:rFonts w:eastAsia="Arial Unicode MS"/>
                <w:color w:val="000000" w:themeColor="text1"/>
                <w:sz w:val="20"/>
                <w:szCs w:val="20"/>
                <w:shd w:val="clear" w:color="auto" w:fill="FFFFFF"/>
                <w:lang w:val="fr-FR"/>
              </w:rPr>
              <w:t>Conformitatea cu cerințele de proiectare ecologică se măsoară în conformitate cu cerințele stabilite în anexa II punctul 1.</w:t>
            </w:r>
          </w:p>
          <w:p w14:paraId="0DA4107D" w14:textId="34E22A3E" w:rsidR="00404625" w:rsidRPr="00404625" w:rsidRDefault="00404625" w:rsidP="000469A9">
            <w:pPr>
              <w:pStyle w:val="ti-art"/>
              <w:shd w:val="clear" w:color="auto" w:fill="FFFFFF"/>
              <w:spacing w:before="0" w:beforeAutospacing="0" w:after="0" w:afterAutospacing="0"/>
              <w:jc w:val="both"/>
              <w:rPr>
                <w:i/>
                <w:iCs/>
                <w:color w:val="333333"/>
                <w:sz w:val="20"/>
                <w:szCs w:val="20"/>
                <w:lang w:val="fr-FR"/>
              </w:rPr>
            </w:pPr>
            <w:r w:rsidRPr="000469A9">
              <w:rPr>
                <w:rFonts w:eastAsia="Arial Unicode MS"/>
                <w:color w:val="000000" w:themeColor="text1"/>
                <w:sz w:val="20"/>
                <w:szCs w:val="20"/>
                <w:shd w:val="clear" w:color="auto" w:fill="FFFFFF"/>
                <w:lang w:val="fr-FR"/>
              </w:rPr>
              <w:lastRenderedPageBreak/>
              <w:t>Metoda de calcul pentru indicele de eficiență energetică al pompelor de circulație este stabilită în anexa II punctul 2.</w:t>
            </w:r>
          </w:p>
        </w:tc>
        <w:tc>
          <w:tcPr>
            <w:tcW w:w="4394" w:type="dxa"/>
            <w:shd w:val="clear" w:color="auto" w:fill="auto"/>
          </w:tcPr>
          <w:p w14:paraId="6A1942EE" w14:textId="77777777" w:rsidR="00462A92" w:rsidRPr="000E3DBA" w:rsidRDefault="00462A92" w:rsidP="00832B2D">
            <w:pPr>
              <w:rPr>
                <w:sz w:val="20"/>
                <w:szCs w:val="20"/>
                <w:lang w:val="ro-RO"/>
              </w:rPr>
            </w:pPr>
          </w:p>
        </w:tc>
        <w:tc>
          <w:tcPr>
            <w:tcW w:w="1276" w:type="dxa"/>
            <w:shd w:val="clear" w:color="auto" w:fill="auto"/>
          </w:tcPr>
          <w:p w14:paraId="1FD7FE7E" w14:textId="3C4ADEC5" w:rsidR="00F30A80" w:rsidRPr="00C951E7" w:rsidRDefault="00F30A80" w:rsidP="00F30A80">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p w14:paraId="66299527" w14:textId="77777777" w:rsidR="00462A92" w:rsidRPr="00C951E7" w:rsidRDefault="00462A92" w:rsidP="004379C5">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44BDA33"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CFEB8FC" w14:textId="61A77F74" w:rsidR="00462A92" w:rsidRPr="00AC24A4" w:rsidRDefault="00832B2D"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Cerințele de proiectare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 xml:space="preserve">în Regulamentul cu privire la cerințele de proiectare ecologică aplicabile </w:t>
            </w:r>
            <w:r w:rsidRPr="00832B2D">
              <w:rPr>
                <w:rFonts w:ascii="Times New Roman" w:eastAsia="Times New Roman" w:hAnsi="Times New Roman"/>
                <w:color w:val="000000" w:themeColor="text1"/>
                <w:sz w:val="20"/>
                <w:szCs w:val="20"/>
                <w:lang w:val="ro-RO" w:eastAsia="ro-RO"/>
              </w:rPr>
              <w:lastRenderedPageBreak/>
              <w:t>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549BA379" w14:textId="77777777" w:rsidR="00112048" w:rsidRPr="003F755D" w:rsidRDefault="00112048" w:rsidP="0011204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630B68F2"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112048" w:rsidRPr="00462A92" w14:paraId="67E61908" w14:textId="77777777" w:rsidTr="00340B94">
        <w:trPr>
          <w:trHeight w:val="558"/>
        </w:trPr>
        <w:tc>
          <w:tcPr>
            <w:tcW w:w="4957" w:type="dxa"/>
            <w:shd w:val="clear" w:color="auto" w:fill="auto"/>
          </w:tcPr>
          <w:p w14:paraId="52A6476F" w14:textId="77777777" w:rsidR="00112048" w:rsidRPr="0007113F" w:rsidRDefault="00404625" w:rsidP="00404625">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7113F">
              <w:rPr>
                <w:rFonts w:eastAsia="Arial Unicode MS"/>
                <w:i/>
                <w:iCs/>
                <w:color w:val="333333"/>
                <w:sz w:val="20"/>
                <w:szCs w:val="20"/>
                <w:shd w:val="clear" w:color="auto" w:fill="FFFFFF"/>
                <w:lang w:val="en-US"/>
              </w:rPr>
              <w:t>Articolul 4</w:t>
            </w:r>
          </w:p>
          <w:p w14:paraId="691FC487" w14:textId="77777777" w:rsidR="00404625" w:rsidRPr="0007113F" w:rsidRDefault="00404625" w:rsidP="00404625">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07113F">
              <w:rPr>
                <w:rFonts w:eastAsia="Arial Unicode MS"/>
                <w:b/>
                <w:bCs/>
                <w:color w:val="333333"/>
                <w:sz w:val="20"/>
                <w:szCs w:val="20"/>
                <w:shd w:val="clear" w:color="auto" w:fill="FFFFFF"/>
                <w:lang w:val="en-US"/>
              </w:rPr>
              <w:t>Evaluarea conformității</w:t>
            </w:r>
          </w:p>
          <w:p w14:paraId="51EAA0A6" w14:textId="1417688A" w:rsidR="00404625" w:rsidRPr="00404625" w:rsidRDefault="00404625" w:rsidP="000469A9">
            <w:pPr>
              <w:pStyle w:val="ti-art"/>
              <w:shd w:val="clear" w:color="auto" w:fill="FFFFFF"/>
              <w:spacing w:before="0" w:beforeAutospacing="0" w:after="0" w:afterAutospacing="0"/>
              <w:jc w:val="both"/>
              <w:rPr>
                <w:i/>
                <w:iCs/>
                <w:color w:val="333333"/>
                <w:sz w:val="20"/>
                <w:szCs w:val="20"/>
                <w:lang w:val="fr-FR"/>
              </w:rPr>
            </w:pPr>
            <w:r w:rsidRPr="000469A9">
              <w:rPr>
                <w:rFonts w:eastAsia="Arial Unicode MS"/>
                <w:color w:val="000000" w:themeColor="text1"/>
                <w:sz w:val="20"/>
                <w:szCs w:val="20"/>
                <w:shd w:val="clear" w:color="auto" w:fill="FFFFFF"/>
                <w:lang w:val="fr-FR"/>
              </w:rPr>
              <w:t>Procedura de evaluare a conformității menționată la articolul 8 din Directiva 2005/32/CE este sistemul de control intern al proiectării stabilit în anexa IV la respectiva directivă sau sistemul de management pentru evaluarea conformității stabilit în anexa V la aceeași directivă.</w:t>
            </w:r>
          </w:p>
        </w:tc>
        <w:tc>
          <w:tcPr>
            <w:tcW w:w="4394" w:type="dxa"/>
            <w:shd w:val="clear" w:color="auto" w:fill="auto"/>
          </w:tcPr>
          <w:p w14:paraId="3121DEF1" w14:textId="77777777" w:rsidR="00112048" w:rsidRPr="000E3DBA" w:rsidRDefault="00112048" w:rsidP="00832B2D">
            <w:pPr>
              <w:rPr>
                <w:sz w:val="20"/>
                <w:szCs w:val="20"/>
                <w:lang w:val="ro-RO"/>
              </w:rPr>
            </w:pPr>
          </w:p>
        </w:tc>
        <w:tc>
          <w:tcPr>
            <w:tcW w:w="1276" w:type="dxa"/>
            <w:shd w:val="clear" w:color="auto" w:fill="auto"/>
          </w:tcPr>
          <w:p w14:paraId="1F5111D9" w14:textId="042662FD" w:rsidR="00F30A80" w:rsidRPr="00C951E7" w:rsidRDefault="00F30A80" w:rsidP="00F30A80">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p w14:paraId="7B7286D5" w14:textId="77777777" w:rsidR="00112048" w:rsidRPr="00C951E7" w:rsidRDefault="00112048" w:rsidP="004379C5">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3AB9DED" w14:textId="77777777" w:rsidR="00112048" w:rsidRPr="00AC24A4" w:rsidRDefault="00112048"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9D67361" w14:textId="683D2E53" w:rsidR="00112048" w:rsidRPr="00AC24A4" w:rsidRDefault="00832B2D"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Prevederile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în Regulamentul cu privire la cerințele de proiectare ecologică aplicabile 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1C81BB09" w14:textId="77777777" w:rsidR="00112048" w:rsidRPr="003F755D" w:rsidRDefault="00112048" w:rsidP="0011204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53150177" w14:textId="77777777" w:rsidR="00112048" w:rsidRPr="003F755D" w:rsidRDefault="00112048" w:rsidP="00112048">
            <w:pPr>
              <w:autoSpaceDE w:val="0"/>
              <w:spacing w:after="0" w:line="240" w:lineRule="auto"/>
              <w:rPr>
                <w:rFonts w:ascii="Times New Roman" w:hAnsi="Times New Roman"/>
                <w:sz w:val="20"/>
                <w:szCs w:val="20"/>
                <w:lang w:val="fr-FR"/>
              </w:rPr>
            </w:pPr>
          </w:p>
        </w:tc>
      </w:tr>
      <w:tr w:rsidR="00112048" w:rsidRPr="00462A92" w14:paraId="0868C97D" w14:textId="77777777" w:rsidTr="00340B94">
        <w:trPr>
          <w:trHeight w:val="558"/>
        </w:trPr>
        <w:tc>
          <w:tcPr>
            <w:tcW w:w="4957" w:type="dxa"/>
            <w:shd w:val="clear" w:color="auto" w:fill="auto"/>
          </w:tcPr>
          <w:p w14:paraId="720F0D94" w14:textId="77777777" w:rsidR="00112048" w:rsidRPr="0007113F" w:rsidRDefault="00F77CAB" w:rsidP="00F77CA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7113F">
              <w:rPr>
                <w:rFonts w:eastAsia="Arial Unicode MS"/>
                <w:i/>
                <w:iCs/>
                <w:color w:val="333333"/>
                <w:sz w:val="20"/>
                <w:szCs w:val="20"/>
                <w:shd w:val="clear" w:color="auto" w:fill="FFFFFF"/>
                <w:lang w:val="en-US"/>
              </w:rPr>
              <w:t>Articolul 5</w:t>
            </w:r>
          </w:p>
          <w:p w14:paraId="77C2A8FE" w14:textId="77777777" w:rsidR="00F77CAB" w:rsidRPr="0007113F" w:rsidRDefault="00F77CAB" w:rsidP="00F77CAB">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07113F">
              <w:rPr>
                <w:rFonts w:eastAsia="Arial Unicode MS"/>
                <w:b/>
                <w:bCs/>
                <w:color w:val="333333"/>
                <w:sz w:val="20"/>
                <w:szCs w:val="20"/>
                <w:shd w:val="clear" w:color="auto" w:fill="FFFFFF"/>
                <w:lang w:val="en-US"/>
              </w:rPr>
              <w:t>Procedura de verificare a conformității în scopul supravegherii pieței</w:t>
            </w:r>
          </w:p>
          <w:p w14:paraId="615ED3A0" w14:textId="7F47FF51" w:rsidR="00F77CAB" w:rsidRPr="00F77CAB" w:rsidRDefault="00F77CAB" w:rsidP="000469A9">
            <w:pPr>
              <w:pStyle w:val="ti-art"/>
              <w:shd w:val="clear" w:color="auto" w:fill="FFFFFF"/>
              <w:spacing w:before="0" w:beforeAutospacing="0" w:after="0" w:afterAutospacing="0"/>
              <w:jc w:val="both"/>
              <w:rPr>
                <w:i/>
                <w:iCs/>
                <w:color w:val="333333"/>
                <w:sz w:val="20"/>
                <w:szCs w:val="20"/>
                <w:lang w:val="fr-FR"/>
              </w:rPr>
            </w:pPr>
            <w:r w:rsidRPr="000469A9">
              <w:rPr>
                <w:rFonts w:eastAsia="Arial Unicode MS"/>
                <w:color w:val="000000" w:themeColor="text1"/>
                <w:sz w:val="20"/>
                <w:szCs w:val="20"/>
                <w:shd w:val="clear" w:color="auto" w:fill="FFFFFF"/>
                <w:lang w:val="fr-FR"/>
              </w:rPr>
              <w:t>Pentru a efectua controalele de supraveghere a pieței menționate la articolul 3 alineatul (2) din Directiva 2005/32/CE pentru cerințele prevăzute în anexa I la prezentul regulament, autoritățile statului membru trebuie să aplice procedura de verificare descrisă în anexa III la prezentul regulament.</w:t>
            </w:r>
          </w:p>
        </w:tc>
        <w:tc>
          <w:tcPr>
            <w:tcW w:w="4394" w:type="dxa"/>
            <w:shd w:val="clear" w:color="auto" w:fill="auto"/>
          </w:tcPr>
          <w:p w14:paraId="0DE99292" w14:textId="77777777" w:rsidR="00112048" w:rsidRPr="000E3DBA" w:rsidRDefault="00112048" w:rsidP="00832B2D">
            <w:pPr>
              <w:rPr>
                <w:sz w:val="20"/>
                <w:szCs w:val="20"/>
                <w:lang w:val="ro-RO"/>
              </w:rPr>
            </w:pPr>
          </w:p>
        </w:tc>
        <w:tc>
          <w:tcPr>
            <w:tcW w:w="1276" w:type="dxa"/>
            <w:shd w:val="clear" w:color="auto" w:fill="auto"/>
          </w:tcPr>
          <w:p w14:paraId="4FB03D61" w14:textId="372F984B" w:rsidR="00F30A80" w:rsidRPr="00C951E7" w:rsidRDefault="00F30A80" w:rsidP="00F30A80">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p w14:paraId="54A8B5AB" w14:textId="77777777" w:rsidR="00112048" w:rsidRPr="00C951E7" w:rsidRDefault="00112048" w:rsidP="004379C5">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74E37A9" w14:textId="77777777" w:rsidR="00112048" w:rsidRPr="00AC24A4" w:rsidRDefault="00112048"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EBA46BB" w14:textId="086EE194" w:rsidR="00112048" w:rsidRPr="00AC24A4" w:rsidRDefault="00832B2D"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Prevederile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 xml:space="preserve">în Regulamentul cu privire la cerințele de proiectare ecologică aplicabile pompelor de circulație fără etanșare independente și pompelor de circulație fără etanșare integrate în produse din Anexa nr.14  Hotărîrii de </w:t>
            </w:r>
            <w:r w:rsidRPr="00832B2D">
              <w:rPr>
                <w:rFonts w:ascii="Times New Roman" w:eastAsia="Times New Roman" w:hAnsi="Times New Roman"/>
                <w:color w:val="000000" w:themeColor="text1"/>
                <w:sz w:val="20"/>
                <w:szCs w:val="20"/>
                <w:lang w:val="ro-RO" w:eastAsia="ro-RO"/>
              </w:rPr>
              <w:lastRenderedPageBreak/>
              <w:t>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71DB34F7" w14:textId="77777777" w:rsidR="00112048" w:rsidRPr="003F755D" w:rsidRDefault="00112048" w:rsidP="0011204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0B3842D6" w14:textId="77777777" w:rsidR="00112048" w:rsidRPr="003F755D" w:rsidRDefault="00112048" w:rsidP="000A3C73">
            <w:pPr>
              <w:autoSpaceDE w:val="0"/>
              <w:spacing w:after="0" w:line="240" w:lineRule="auto"/>
              <w:rPr>
                <w:rFonts w:ascii="Times New Roman" w:hAnsi="Times New Roman"/>
                <w:sz w:val="20"/>
                <w:szCs w:val="20"/>
                <w:lang w:val="fr-FR"/>
              </w:rPr>
            </w:pPr>
          </w:p>
        </w:tc>
      </w:tr>
      <w:tr w:rsidR="00112048" w:rsidRPr="00462A92" w14:paraId="23B8530A" w14:textId="77777777" w:rsidTr="00F30A80">
        <w:trPr>
          <w:trHeight w:val="1534"/>
        </w:trPr>
        <w:tc>
          <w:tcPr>
            <w:tcW w:w="4957" w:type="dxa"/>
            <w:shd w:val="clear" w:color="auto" w:fill="auto"/>
          </w:tcPr>
          <w:p w14:paraId="1154C0B4" w14:textId="77777777" w:rsidR="00112048" w:rsidRPr="0007113F" w:rsidRDefault="00F77CAB" w:rsidP="00F77CA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7113F">
              <w:rPr>
                <w:rFonts w:eastAsia="Arial Unicode MS"/>
                <w:i/>
                <w:iCs/>
                <w:color w:val="333333"/>
                <w:sz w:val="20"/>
                <w:szCs w:val="20"/>
                <w:shd w:val="clear" w:color="auto" w:fill="FFFFFF"/>
                <w:lang w:val="en-US"/>
              </w:rPr>
              <w:t>Articolul 6</w:t>
            </w:r>
          </w:p>
          <w:p w14:paraId="10E8AD1A" w14:textId="77777777" w:rsidR="00F77CAB" w:rsidRPr="0007113F" w:rsidRDefault="00F77CAB" w:rsidP="00F77CAB">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07113F">
              <w:rPr>
                <w:rFonts w:eastAsia="Arial Unicode MS"/>
                <w:b/>
                <w:bCs/>
                <w:color w:val="333333"/>
                <w:sz w:val="20"/>
                <w:szCs w:val="20"/>
                <w:shd w:val="clear" w:color="auto" w:fill="FFFFFF"/>
                <w:lang w:val="en-US"/>
              </w:rPr>
              <w:t>Valori de referință</w:t>
            </w:r>
          </w:p>
          <w:p w14:paraId="79AC8F03" w14:textId="4EB4CDB9" w:rsidR="00F77CAB" w:rsidRPr="00F77CAB" w:rsidRDefault="00F77CAB" w:rsidP="000469A9">
            <w:pPr>
              <w:pStyle w:val="ti-art"/>
              <w:shd w:val="clear" w:color="auto" w:fill="FFFFFF"/>
              <w:spacing w:before="0" w:beforeAutospacing="0" w:after="0" w:afterAutospacing="0"/>
              <w:jc w:val="both"/>
              <w:rPr>
                <w:i/>
                <w:iCs/>
                <w:color w:val="333333"/>
                <w:sz w:val="20"/>
                <w:szCs w:val="20"/>
                <w:lang w:val="fr-FR"/>
              </w:rPr>
            </w:pPr>
            <w:r w:rsidRPr="000469A9">
              <w:rPr>
                <w:rFonts w:eastAsia="Arial Unicode MS"/>
                <w:color w:val="000000" w:themeColor="text1"/>
                <w:sz w:val="20"/>
                <w:szCs w:val="20"/>
                <w:shd w:val="clear" w:color="auto" w:fill="FFFFFF"/>
                <w:lang w:val="fr-FR"/>
              </w:rPr>
              <w:t>Valorile indicative de referință pentru cele mai performante pompe de circulație disponibile pe piață în momentul intrării în vigoare a prezentului regulament sunt prevăzute în anexa IV.</w:t>
            </w:r>
          </w:p>
        </w:tc>
        <w:tc>
          <w:tcPr>
            <w:tcW w:w="4394" w:type="dxa"/>
            <w:shd w:val="clear" w:color="auto" w:fill="auto"/>
          </w:tcPr>
          <w:p w14:paraId="6BF758A7" w14:textId="77777777" w:rsidR="00112048" w:rsidRPr="00F77CAB" w:rsidRDefault="00112048" w:rsidP="00112048">
            <w:pPr>
              <w:pStyle w:val="norm"/>
              <w:shd w:val="clear" w:color="auto" w:fill="FFFFFF"/>
              <w:spacing w:before="0" w:beforeAutospacing="0" w:after="0" w:afterAutospacing="0"/>
              <w:ind w:firstLine="709"/>
              <w:jc w:val="both"/>
              <w:rPr>
                <w:sz w:val="20"/>
                <w:szCs w:val="20"/>
                <w:lang w:val="fr-FR"/>
              </w:rPr>
            </w:pPr>
          </w:p>
        </w:tc>
        <w:tc>
          <w:tcPr>
            <w:tcW w:w="1276" w:type="dxa"/>
            <w:shd w:val="clear" w:color="auto" w:fill="auto"/>
            <w:vAlign w:val="center"/>
          </w:tcPr>
          <w:p w14:paraId="37F237DC" w14:textId="6255B8C1" w:rsidR="00F30A80" w:rsidRPr="00C951E7" w:rsidRDefault="00F30A80" w:rsidP="00F30A80">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p w14:paraId="0B10F489" w14:textId="77777777" w:rsidR="00112048" w:rsidRPr="00C951E7" w:rsidRDefault="00112048" w:rsidP="00F30A80">
            <w:pPr>
              <w:spacing w:after="0" w:line="240" w:lineRule="auto"/>
              <w:jc w:val="center"/>
              <w:rPr>
                <w:rFonts w:ascii="Times New Roman" w:hAnsi="Times New Roman"/>
                <w:bCs/>
                <w:color w:val="000000" w:themeColor="text1"/>
                <w:sz w:val="20"/>
                <w:szCs w:val="20"/>
                <w:lang w:val="ro-RO"/>
              </w:rPr>
            </w:pPr>
          </w:p>
        </w:tc>
        <w:tc>
          <w:tcPr>
            <w:tcW w:w="1275" w:type="dxa"/>
            <w:shd w:val="clear" w:color="auto" w:fill="auto"/>
          </w:tcPr>
          <w:p w14:paraId="2481D49C" w14:textId="77777777" w:rsidR="00112048" w:rsidRPr="00AC24A4" w:rsidRDefault="00112048"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3C617ED" w14:textId="582A5F2C" w:rsidR="00112048" w:rsidRPr="00AC24A4" w:rsidRDefault="00832B2D"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Prevederile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în Regulamentul cu privire la cerințele de proiectare ecologică aplicabile 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018BEA09" w14:textId="77777777" w:rsidR="00112048" w:rsidRPr="003F755D" w:rsidRDefault="00112048" w:rsidP="0011204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1909BDE" w14:textId="77777777" w:rsidR="00112048" w:rsidRPr="003F755D" w:rsidRDefault="00112048" w:rsidP="000A3C73">
            <w:pPr>
              <w:autoSpaceDE w:val="0"/>
              <w:spacing w:after="0" w:line="240" w:lineRule="auto"/>
              <w:rPr>
                <w:rFonts w:ascii="Times New Roman" w:hAnsi="Times New Roman"/>
                <w:sz w:val="20"/>
                <w:szCs w:val="20"/>
                <w:lang w:val="fr-FR"/>
              </w:rPr>
            </w:pPr>
          </w:p>
        </w:tc>
      </w:tr>
      <w:tr w:rsidR="00404625" w:rsidRPr="00462A92" w14:paraId="17036751" w14:textId="77777777" w:rsidTr="00340B94">
        <w:trPr>
          <w:trHeight w:val="558"/>
        </w:trPr>
        <w:tc>
          <w:tcPr>
            <w:tcW w:w="4957" w:type="dxa"/>
            <w:shd w:val="clear" w:color="auto" w:fill="auto"/>
          </w:tcPr>
          <w:p w14:paraId="5465EDFF" w14:textId="77777777" w:rsidR="00404625" w:rsidRPr="0007113F" w:rsidRDefault="00F77CAB" w:rsidP="00F77CA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7113F">
              <w:rPr>
                <w:rFonts w:eastAsia="Arial Unicode MS"/>
                <w:i/>
                <w:iCs/>
                <w:color w:val="333333"/>
                <w:sz w:val="20"/>
                <w:szCs w:val="20"/>
                <w:shd w:val="clear" w:color="auto" w:fill="FFFFFF"/>
                <w:lang w:val="en-US"/>
              </w:rPr>
              <w:t>Articolul 7</w:t>
            </w:r>
          </w:p>
          <w:p w14:paraId="6514A670" w14:textId="77777777" w:rsidR="00F77CAB" w:rsidRPr="0007113F" w:rsidRDefault="00F77CAB" w:rsidP="00F77CAB">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07113F">
              <w:rPr>
                <w:rFonts w:eastAsia="Arial Unicode MS"/>
                <w:b/>
                <w:bCs/>
                <w:color w:val="333333"/>
                <w:sz w:val="20"/>
                <w:szCs w:val="20"/>
                <w:shd w:val="clear" w:color="auto" w:fill="FFFFFF"/>
                <w:lang w:val="en-US"/>
              </w:rPr>
              <w:t>Revizuire</w:t>
            </w:r>
          </w:p>
          <w:p w14:paraId="0D1971A6" w14:textId="77777777" w:rsidR="00F77CAB" w:rsidRPr="000469A9" w:rsidRDefault="00F77CAB"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Comisia revizuiește prezentul regulament până la 1 ianuarie 2017, luând în considerare progresul tehnologic.</w:t>
            </w:r>
          </w:p>
          <w:p w14:paraId="70BC3C95" w14:textId="77777777" w:rsidR="00F77CAB" w:rsidRPr="000469A9" w:rsidRDefault="00F77CAB"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Revizuirea include o evaluare a opțiunilor de proiectare care pot facilita reutilizarea și reciclarea.</w:t>
            </w:r>
          </w:p>
          <w:p w14:paraId="24CF6709" w14:textId="77777777" w:rsidR="00F77CAB" w:rsidRPr="000469A9" w:rsidRDefault="00F77CAB"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Rezultatele revizuirii sunt prezentate Forumului consultativ privind proiectarea ecologică.</w:t>
            </w:r>
          </w:p>
          <w:p w14:paraId="1545C4D4" w14:textId="2E00ED79" w:rsidR="00F77CAB" w:rsidRPr="00F77CAB" w:rsidRDefault="00C43796" w:rsidP="00F77CAB">
            <w:pPr>
              <w:pStyle w:val="ti-art"/>
              <w:shd w:val="clear" w:color="auto" w:fill="FFFFFF"/>
              <w:spacing w:before="0" w:beforeAutospacing="0" w:after="0" w:afterAutospacing="0"/>
              <w:rPr>
                <w:i/>
                <w:iCs/>
                <w:color w:val="333333"/>
                <w:sz w:val="20"/>
                <w:szCs w:val="20"/>
                <w:lang w:val="en-US"/>
              </w:rPr>
            </w:pPr>
            <w:hyperlink r:id="rId13" w:tooltip="32009R0641" w:history="1">
              <w:r w:rsidR="00F77CAB" w:rsidRPr="00F77CAB">
                <w:rPr>
                  <w:rStyle w:val="Hyperlink"/>
                  <w:rFonts w:eastAsia="Arial Unicode MS"/>
                  <w:b/>
                  <w:bCs/>
                  <w:color w:val="4472C4" w:themeColor="accent1"/>
                  <w:sz w:val="20"/>
                  <w:szCs w:val="20"/>
                  <w:shd w:val="clear" w:color="auto" w:fill="FFFFFF"/>
                </w:rPr>
                <w:t>▼B</w:t>
              </w:r>
            </w:hyperlink>
          </w:p>
        </w:tc>
        <w:tc>
          <w:tcPr>
            <w:tcW w:w="4394" w:type="dxa"/>
            <w:shd w:val="clear" w:color="auto" w:fill="auto"/>
          </w:tcPr>
          <w:p w14:paraId="309CBB2E" w14:textId="77777777" w:rsidR="00404625" w:rsidRPr="006D7504" w:rsidRDefault="00404625" w:rsidP="00112048">
            <w:pPr>
              <w:pStyle w:val="norm"/>
              <w:shd w:val="clear" w:color="auto" w:fill="FFFFFF"/>
              <w:spacing w:before="0" w:beforeAutospacing="0" w:after="0" w:afterAutospacing="0"/>
              <w:ind w:firstLine="709"/>
              <w:jc w:val="both"/>
              <w:rPr>
                <w:sz w:val="20"/>
                <w:szCs w:val="20"/>
                <w:lang w:val="en-US"/>
              </w:rPr>
            </w:pPr>
          </w:p>
        </w:tc>
        <w:tc>
          <w:tcPr>
            <w:tcW w:w="1276" w:type="dxa"/>
            <w:shd w:val="clear" w:color="auto" w:fill="auto"/>
          </w:tcPr>
          <w:p w14:paraId="371D6AE0" w14:textId="77777777" w:rsidR="00B47321" w:rsidRPr="00B70E10" w:rsidRDefault="00B47321" w:rsidP="00B47321">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07C5961A" w14:textId="77777777" w:rsidR="00404625" w:rsidRPr="00C951E7" w:rsidRDefault="00404625" w:rsidP="00112048">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21C1460" w14:textId="77777777" w:rsidR="00404625" w:rsidRPr="00AC24A4" w:rsidRDefault="00404625"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A4671CE" w14:textId="77777777" w:rsidR="00404625" w:rsidRPr="00AC24A4" w:rsidRDefault="00404625"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B88B7E4" w14:textId="77777777" w:rsidR="00404625" w:rsidRPr="00F77CAB" w:rsidRDefault="00404625" w:rsidP="00112048">
            <w:pPr>
              <w:autoSpaceDE w:val="0"/>
              <w:spacing w:after="0" w:line="240" w:lineRule="auto"/>
              <w:rPr>
                <w:rFonts w:ascii="Times New Roman" w:hAnsi="Times New Roman"/>
                <w:sz w:val="20"/>
                <w:szCs w:val="20"/>
                <w:lang w:val="en-US"/>
              </w:rPr>
            </w:pPr>
          </w:p>
        </w:tc>
      </w:tr>
      <w:tr w:rsidR="00404625" w:rsidRPr="00462A92" w14:paraId="73B687E9" w14:textId="77777777" w:rsidTr="00340B94">
        <w:trPr>
          <w:trHeight w:val="558"/>
        </w:trPr>
        <w:tc>
          <w:tcPr>
            <w:tcW w:w="4957" w:type="dxa"/>
            <w:shd w:val="clear" w:color="auto" w:fill="auto"/>
          </w:tcPr>
          <w:p w14:paraId="3CA6008B" w14:textId="77777777" w:rsidR="00404625" w:rsidRPr="000469A9" w:rsidRDefault="0007113F" w:rsidP="0007113F">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469A9">
              <w:rPr>
                <w:rFonts w:eastAsia="Arial Unicode MS"/>
                <w:i/>
                <w:iCs/>
                <w:color w:val="333333"/>
                <w:sz w:val="20"/>
                <w:szCs w:val="20"/>
                <w:shd w:val="clear" w:color="auto" w:fill="FFFFFF"/>
                <w:lang w:val="en-US"/>
              </w:rPr>
              <w:t>Articolul 8</w:t>
            </w:r>
          </w:p>
          <w:p w14:paraId="7D116195" w14:textId="77777777" w:rsidR="0007113F" w:rsidRPr="000469A9" w:rsidRDefault="0007113F" w:rsidP="0007113F">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0469A9">
              <w:rPr>
                <w:rFonts w:eastAsia="Arial Unicode MS"/>
                <w:b/>
                <w:bCs/>
                <w:color w:val="333333"/>
                <w:sz w:val="20"/>
                <w:szCs w:val="20"/>
                <w:shd w:val="clear" w:color="auto" w:fill="FFFFFF"/>
                <w:lang w:val="en-US"/>
              </w:rPr>
              <w:t>Intrare în vigoare</w:t>
            </w:r>
          </w:p>
          <w:p w14:paraId="4ACE057B" w14:textId="7E533FEF" w:rsidR="0007113F" w:rsidRPr="000469A9" w:rsidRDefault="0007113F"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Prezentul regulament intră în vigoare în a douăzecea zi de la publicarea în</w:t>
            </w:r>
            <w:r w:rsidR="000469A9" w:rsidRPr="000469A9">
              <w:rPr>
                <w:rStyle w:val="apple-converted-space"/>
                <w:rFonts w:eastAsia="Arial Unicode MS"/>
                <w:color w:val="000000" w:themeColor="text1"/>
                <w:sz w:val="20"/>
                <w:szCs w:val="20"/>
                <w:shd w:val="clear" w:color="auto" w:fill="FFFFFF"/>
                <w:lang w:val="en-US"/>
              </w:rPr>
              <w:t xml:space="preserve"> </w:t>
            </w:r>
            <w:r w:rsidRPr="000469A9">
              <w:rPr>
                <w:rStyle w:val="italics"/>
                <w:rFonts w:eastAsia="Arial Unicode MS"/>
                <w:i/>
                <w:iCs/>
                <w:color w:val="000000" w:themeColor="text1"/>
                <w:sz w:val="20"/>
                <w:szCs w:val="20"/>
                <w:lang w:val="en-US"/>
              </w:rPr>
              <w:t>Jurnalul Oficial al Uniunii Europene</w:t>
            </w:r>
            <w:r w:rsidRPr="000469A9">
              <w:rPr>
                <w:rFonts w:eastAsia="Arial Unicode MS"/>
                <w:color w:val="000000" w:themeColor="text1"/>
                <w:sz w:val="20"/>
                <w:szCs w:val="20"/>
                <w:shd w:val="clear" w:color="auto" w:fill="FFFFFF"/>
                <w:lang w:val="en-US"/>
              </w:rPr>
              <w:t>.</w:t>
            </w:r>
          </w:p>
          <w:p w14:paraId="54F39807" w14:textId="65363829" w:rsidR="0007113F" w:rsidRPr="000469A9" w:rsidRDefault="00FA4976"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Prezentul regulament se aplică în conformitate cu următorul calendar:</w:t>
            </w:r>
          </w:p>
          <w:p w14:paraId="7718EF14" w14:textId="77777777" w:rsidR="00FA4976" w:rsidRPr="000469A9" w:rsidRDefault="00FA4976">
            <w:pPr>
              <w:pStyle w:val="ti-art"/>
              <w:numPr>
                <w:ilvl w:val="0"/>
                <w:numId w:val="6"/>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de la 1 ianuarie 2013, pompele de circulație fără etanșare independente respectă nivelul de eficiență energetică definit în anexa I punctul 1 subpunctul 1, cu excepția celor proiectate special pentru circuitele primare ale sistemelor termosolare și ale pompelor de căldură;</w:t>
            </w:r>
          </w:p>
          <w:p w14:paraId="634A2F27" w14:textId="4988F90E" w:rsidR="00FA4976" w:rsidRPr="000469A9" w:rsidRDefault="00FA4976">
            <w:pPr>
              <w:pStyle w:val="ti-art"/>
              <w:numPr>
                <w:ilvl w:val="0"/>
                <w:numId w:val="6"/>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0469A9">
              <w:rPr>
                <w:rFonts w:eastAsia="Arial Unicode MS"/>
                <w:color w:val="000000" w:themeColor="text1"/>
                <w:sz w:val="20"/>
                <w:szCs w:val="20"/>
                <w:lang w:val="en-US"/>
              </w:rPr>
              <w:t>de la 1 august 2015, pompele de circulație fără etanșare independente și pompele de circulație fără etanșare integrate în produse respectă nivelul de eficiență energetică definit în anexa I punctul 1 subpunctul 2.</w:t>
            </w:r>
          </w:p>
          <w:p w14:paraId="769A981E" w14:textId="20DBEA98" w:rsidR="0007113F" w:rsidRPr="00FA4976" w:rsidRDefault="00FA4976" w:rsidP="00FA4976">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FA4976">
              <w:rPr>
                <w:rFonts w:eastAsia="Arial Unicode MS"/>
                <w:color w:val="333333"/>
                <w:sz w:val="20"/>
                <w:szCs w:val="20"/>
                <w:shd w:val="clear" w:color="auto" w:fill="FFFFFF"/>
                <w:lang w:val="en-US"/>
              </w:rPr>
              <w:lastRenderedPageBreak/>
              <w:t>Prezentul regulament este obligatoriu în toate elementele sale și se aplică direct în toate statele membre.</w:t>
            </w:r>
          </w:p>
        </w:tc>
        <w:tc>
          <w:tcPr>
            <w:tcW w:w="4394" w:type="dxa"/>
            <w:shd w:val="clear" w:color="auto" w:fill="auto"/>
          </w:tcPr>
          <w:p w14:paraId="23CAA844" w14:textId="77777777" w:rsidR="00404625" w:rsidRPr="006D7504" w:rsidRDefault="00404625" w:rsidP="00112048">
            <w:pPr>
              <w:pStyle w:val="norm"/>
              <w:shd w:val="clear" w:color="auto" w:fill="FFFFFF"/>
              <w:spacing w:before="0" w:beforeAutospacing="0" w:after="0" w:afterAutospacing="0"/>
              <w:ind w:firstLine="709"/>
              <w:jc w:val="both"/>
              <w:rPr>
                <w:sz w:val="20"/>
                <w:szCs w:val="20"/>
                <w:lang w:val="en-US"/>
              </w:rPr>
            </w:pPr>
          </w:p>
        </w:tc>
        <w:tc>
          <w:tcPr>
            <w:tcW w:w="1276" w:type="dxa"/>
            <w:shd w:val="clear" w:color="auto" w:fill="auto"/>
          </w:tcPr>
          <w:p w14:paraId="2D15D946" w14:textId="77777777" w:rsidR="00B47321" w:rsidRPr="00B70E10" w:rsidRDefault="00B47321" w:rsidP="00B47321">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30A60BCD" w14:textId="77777777" w:rsidR="00404625" w:rsidRPr="00C951E7" w:rsidRDefault="00404625" w:rsidP="00112048">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D1F7BCE" w14:textId="77777777" w:rsidR="00404625" w:rsidRPr="00AC24A4" w:rsidRDefault="00404625"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BDD80D9" w14:textId="77777777" w:rsidR="00404625" w:rsidRPr="00AC24A4" w:rsidRDefault="00404625"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BA4FE24" w14:textId="77777777" w:rsidR="00404625" w:rsidRPr="00F77CAB" w:rsidRDefault="00404625" w:rsidP="00112048">
            <w:pPr>
              <w:autoSpaceDE w:val="0"/>
              <w:spacing w:after="0" w:line="240" w:lineRule="auto"/>
              <w:rPr>
                <w:rFonts w:ascii="Times New Roman" w:hAnsi="Times New Roman"/>
                <w:sz w:val="20"/>
                <w:szCs w:val="20"/>
                <w:lang w:val="en-US"/>
              </w:rPr>
            </w:pPr>
          </w:p>
        </w:tc>
      </w:tr>
      <w:tr w:rsidR="00404625" w:rsidRPr="00462A92" w14:paraId="76CF4FF3" w14:textId="77777777" w:rsidTr="00340B94">
        <w:trPr>
          <w:trHeight w:val="558"/>
        </w:trPr>
        <w:tc>
          <w:tcPr>
            <w:tcW w:w="4957" w:type="dxa"/>
            <w:shd w:val="clear" w:color="auto" w:fill="auto"/>
          </w:tcPr>
          <w:p w14:paraId="57421BD9" w14:textId="77777777" w:rsidR="00404625" w:rsidRPr="000469A9" w:rsidRDefault="00FA4976" w:rsidP="00FA4976">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469A9">
              <w:rPr>
                <w:rFonts w:eastAsia="Arial Unicode MS"/>
                <w:i/>
                <w:iCs/>
                <w:color w:val="333333"/>
                <w:sz w:val="20"/>
                <w:szCs w:val="20"/>
                <w:shd w:val="clear" w:color="auto" w:fill="FFFFFF"/>
                <w:lang w:val="en-US"/>
              </w:rPr>
              <w:t>ANEXA I</w:t>
            </w:r>
          </w:p>
          <w:p w14:paraId="5F7784C3" w14:textId="77777777" w:rsidR="00FA4976" w:rsidRPr="000469A9" w:rsidRDefault="00FA4976" w:rsidP="00FA4976">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0469A9">
              <w:rPr>
                <w:rFonts w:eastAsia="Arial Unicode MS"/>
                <w:b/>
                <w:bCs/>
                <w:color w:val="333333"/>
                <w:sz w:val="20"/>
                <w:szCs w:val="20"/>
                <w:shd w:val="clear" w:color="auto" w:fill="FFFFFF"/>
                <w:lang w:val="en-US"/>
              </w:rPr>
              <w:t>CERINȚE DE PROIECTARE ECOLOGICĂ</w:t>
            </w:r>
          </w:p>
          <w:p w14:paraId="7CB1918B" w14:textId="77777777" w:rsidR="00FA4976" w:rsidRPr="00FA4976" w:rsidRDefault="00FA4976">
            <w:pPr>
              <w:pStyle w:val="ti-art"/>
              <w:numPr>
                <w:ilvl w:val="0"/>
                <w:numId w:val="7"/>
              </w:numPr>
              <w:shd w:val="clear" w:color="auto" w:fill="FFFFFF"/>
              <w:spacing w:before="0" w:beforeAutospacing="0" w:after="0" w:afterAutospacing="0"/>
              <w:rPr>
                <w:i/>
                <w:iCs/>
                <w:color w:val="333333"/>
                <w:sz w:val="20"/>
                <w:szCs w:val="20"/>
                <w:lang w:val="en-US"/>
              </w:rPr>
            </w:pPr>
            <w:r w:rsidRPr="00FA4976">
              <w:rPr>
                <w:rFonts w:eastAsia="Arial Unicode MS"/>
                <w:b/>
                <w:bCs/>
                <w:i/>
                <w:iCs/>
                <w:color w:val="333333"/>
                <w:sz w:val="20"/>
                <w:szCs w:val="20"/>
                <w:shd w:val="clear" w:color="auto" w:fill="FFFFFF"/>
              </w:rPr>
              <w:t>CERINȚE DE EFICIENȚĂ ENERGETICĂ</w:t>
            </w:r>
          </w:p>
          <w:p w14:paraId="6645880D" w14:textId="77777777" w:rsidR="00FA4976" w:rsidRPr="00FA4976" w:rsidRDefault="00FA4976">
            <w:pPr>
              <w:pStyle w:val="ti-art"/>
              <w:numPr>
                <w:ilvl w:val="0"/>
                <w:numId w:val="8"/>
              </w:numPr>
              <w:shd w:val="clear" w:color="auto" w:fill="FFFFFF"/>
              <w:spacing w:before="0" w:beforeAutospacing="0" w:after="0" w:afterAutospacing="0"/>
              <w:jc w:val="both"/>
              <w:rPr>
                <w:i/>
                <w:iCs/>
                <w:color w:val="333333"/>
                <w:sz w:val="20"/>
                <w:szCs w:val="20"/>
                <w:lang w:val="en-US"/>
              </w:rPr>
            </w:pPr>
            <w:r w:rsidRPr="00FA4976">
              <w:rPr>
                <w:rFonts w:eastAsia="Arial Unicode MS"/>
                <w:color w:val="333333"/>
                <w:sz w:val="20"/>
                <w:szCs w:val="20"/>
                <w:shd w:val="clear" w:color="auto" w:fill="FFFFFF"/>
                <w:lang w:val="en-US"/>
              </w:rPr>
              <w:t>De la 1 ianuarie 2013, pompele de circulație fără etanșare independente, cu excepția celor proiectate special pentru circuitele primare ale sistemelor termosolare și ale pompelor de căldură, au un indice de eficiență energetică (EEI) de maximum 0,27, calculat în conformitate cu anexa II punctul 2.</w:t>
            </w:r>
          </w:p>
          <w:p w14:paraId="4CE91BD2" w14:textId="77777777" w:rsidR="00FA4976" w:rsidRPr="00FA4976" w:rsidRDefault="00FA4976">
            <w:pPr>
              <w:pStyle w:val="ti-art"/>
              <w:numPr>
                <w:ilvl w:val="0"/>
                <w:numId w:val="8"/>
              </w:numPr>
              <w:shd w:val="clear" w:color="auto" w:fill="FFFFFF"/>
              <w:spacing w:before="0" w:beforeAutospacing="0" w:after="0" w:afterAutospacing="0"/>
              <w:jc w:val="both"/>
              <w:rPr>
                <w:i/>
                <w:iCs/>
                <w:color w:val="333333"/>
                <w:sz w:val="20"/>
                <w:szCs w:val="20"/>
                <w:lang w:val="en-US"/>
              </w:rPr>
            </w:pPr>
            <w:r w:rsidRPr="00FA4976">
              <w:rPr>
                <w:rFonts w:eastAsia="Arial Unicode MS"/>
                <w:color w:val="333333"/>
                <w:sz w:val="20"/>
                <w:szCs w:val="20"/>
                <w:shd w:val="clear" w:color="auto" w:fill="FFFFFF"/>
                <w:lang w:val="en-US"/>
              </w:rPr>
              <w:t>De la 1 august 2015, pompele de circulație fără etanșare independente și pompele de circulație fără etanșare integrate în produse au un indice de eficiență energetică (EEI) de maxim 0,23, calculat în conformitate cu anexa II punctul 2.</w:t>
            </w:r>
          </w:p>
          <w:p w14:paraId="2DCECFC2" w14:textId="77777777" w:rsidR="00FA4976" w:rsidRDefault="00C43796" w:rsidP="00FA4976">
            <w:pPr>
              <w:pStyle w:val="ti-art"/>
              <w:shd w:val="clear" w:color="auto" w:fill="FFFFFF"/>
              <w:spacing w:before="0" w:beforeAutospacing="0" w:after="0" w:afterAutospacing="0"/>
              <w:ind w:left="720"/>
              <w:rPr>
                <w:color w:val="4472C4" w:themeColor="accent1"/>
                <w:sz w:val="20"/>
                <w:szCs w:val="20"/>
              </w:rPr>
            </w:pPr>
            <w:hyperlink r:id="rId14" w:tooltip="32012R0622: REPLACED" w:history="1">
              <w:r w:rsidR="00FA4976" w:rsidRPr="00FA4976">
                <w:rPr>
                  <w:rStyle w:val="Hyperlink"/>
                  <w:rFonts w:eastAsia="Arial Unicode MS"/>
                  <w:b/>
                  <w:bCs/>
                  <w:color w:val="4472C4" w:themeColor="accent1"/>
                  <w:sz w:val="20"/>
                  <w:szCs w:val="20"/>
                </w:rPr>
                <w:t>▼M1</w:t>
              </w:r>
            </w:hyperlink>
          </w:p>
          <w:p w14:paraId="0E3CD790" w14:textId="77777777" w:rsidR="00FA4976" w:rsidRPr="00FA4976" w:rsidRDefault="00FA4976">
            <w:pPr>
              <w:pStyle w:val="ti-art"/>
              <w:numPr>
                <w:ilvl w:val="0"/>
                <w:numId w:val="7"/>
              </w:numPr>
              <w:shd w:val="clear" w:color="auto" w:fill="FFFFFF"/>
              <w:spacing w:before="0" w:beforeAutospacing="0" w:after="0" w:afterAutospacing="0"/>
              <w:rPr>
                <w:i/>
                <w:iCs/>
                <w:color w:val="333333"/>
                <w:sz w:val="20"/>
                <w:szCs w:val="20"/>
                <w:lang w:val="en-US"/>
              </w:rPr>
            </w:pPr>
            <w:r w:rsidRPr="00FA4976">
              <w:rPr>
                <w:rFonts w:eastAsia="Arial Unicode MS"/>
                <w:b/>
                <w:bCs/>
                <w:i/>
                <w:iCs/>
                <w:color w:val="333333"/>
                <w:sz w:val="20"/>
                <w:szCs w:val="20"/>
                <w:shd w:val="clear" w:color="auto" w:fill="FFFFFF"/>
                <w:lang w:val="en-US"/>
              </w:rPr>
              <w:t>CERINȚE PRIVIND INFORMAȚIILE DESPRE PRODUS</w:t>
            </w:r>
          </w:p>
          <w:p w14:paraId="126CAC38" w14:textId="77777777" w:rsidR="00FA4976" w:rsidRPr="00FA4976" w:rsidRDefault="00FA4976">
            <w:pPr>
              <w:pStyle w:val="ti-art"/>
              <w:numPr>
                <w:ilvl w:val="0"/>
                <w:numId w:val="9"/>
              </w:numPr>
              <w:shd w:val="clear" w:color="auto" w:fill="FFFFFF"/>
              <w:spacing w:before="0" w:beforeAutospacing="0" w:after="0" w:afterAutospacing="0"/>
              <w:rPr>
                <w:i/>
                <w:iCs/>
                <w:color w:val="333333"/>
                <w:sz w:val="20"/>
                <w:szCs w:val="20"/>
                <w:lang w:val="en-US"/>
              </w:rPr>
            </w:pPr>
            <w:r w:rsidRPr="00FA4976">
              <w:rPr>
                <w:rFonts w:eastAsia="Arial Unicode MS"/>
                <w:color w:val="333333"/>
                <w:sz w:val="20"/>
                <w:szCs w:val="20"/>
                <w:shd w:val="clear" w:color="auto" w:fill="FFFFFF"/>
              </w:rPr>
              <w:t>De la 1 ianuarie 2013,</w:t>
            </w:r>
          </w:p>
          <w:p w14:paraId="73405D04" w14:textId="77777777" w:rsidR="00FA4976" w:rsidRPr="00FA4976" w:rsidRDefault="00C43796" w:rsidP="00FA4976">
            <w:pPr>
              <w:pStyle w:val="ti-art"/>
              <w:shd w:val="clear" w:color="auto" w:fill="FFFFFF"/>
              <w:spacing w:before="0" w:beforeAutospacing="0" w:after="0" w:afterAutospacing="0"/>
              <w:ind w:left="720"/>
              <w:rPr>
                <w:i/>
                <w:iCs/>
                <w:color w:val="333333"/>
                <w:sz w:val="20"/>
                <w:szCs w:val="20"/>
                <w:lang w:val="en-US"/>
              </w:rPr>
            </w:pPr>
            <w:hyperlink r:id="rId15" w:tooltip="32012R0622R(01): REPLACED" w:history="1">
              <w:r w:rsidR="00FA4976" w:rsidRPr="00FA4976">
                <w:rPr>
                  <w:rStyle w:val="Hyperlink"/>
                  <w:rFonts w:eastAsia="Arial Unicode MS"/>
                  <w:b/>
                  <w:bCs/>
                  <w:color w:val="4472C4" w:themeColor="accent1"/>
                  <w:sz w:val="20"/>
                  <w:szCs w:val="20"/>
                  <w:lang w:val="en-US"/>
                </w:rPr>
                <w:t>▼C1</w:t>
              </w:r>
            </w:hyperlink>
          </w:p>
          <w:p w14:paraId="1C47E3A8" w14:textId="77777777" w:rsidR="00FA4976" w:rsidRPr="00FA4976" w:rsidRDefault="00FA4976">
            <w:pPr>
              <w:pStyle w:val="ti-art"/>
              <w:numPr>
                <w:ilvl w:val="0"/>
                <w:numId w:val="10"/>
              </w:numPr>
              <w:shd w:val="clear" w:color="auto" w:fill="FFFFFF"/>
              <w:spacing w:before="0" w:beforeAutospacing="0" w:after="0" w:afterAutospacing="0"/>
              <w:jc w:val="both"/>
              <w:rPr>
                <w:i/>
                <w:iCs/>
                <w:color w:val="333333"/>
                <w:sz w:val="20"/>
                <w:szCs w:val="20"/>
                <w:lang w:val="en-US"/>
              </w:rPr>
            </w:pPr>
            <w:r w:rsidRPr="00FA4976">
              <w:rPr>
                <w:rFonts w:eastAsia="Arial Unicode MS"/>
                <w:color w:val="333333"/>
                <w:sz w:val="20"/>
                <w:szCs w:val="20"/>
                <w:shd w:val="clear" w:color="auto" w:fill="FFFFFF"/>
                <w:lang w:val="en-US"/>
              </w:rPr>
              <w:t>indicele de eficiență energetică al pompelor de circulație independente, calculat în conformitate cu anexa II, se menționează pe placa de identificare și pe ambalajul pompei de circulație independente, precum și în documentația tehnică a acesteia, după cum urmează: „EEI ≤ 0,[</w:t>
            </w:r>
            <w:r w:rsidRPr="00FA4976">
              <w:rPr>
                <w:rStyle w:val="italics"/>
                <w:rFonts w:eastAsia="Arial Unicode MS"/>
                <w:i/>
                <w:iCs/>
                <w:color w:val="333333"/>
                <w:sz w:val="20"/>
                <w:szCs w:val="20"/>
                <w:lang w:val="en-US"/>
              </w:rPr>
              <w:t>xx</w:t>
            </w:r>
            <w:r w:rsidRPr="00FA4976">
              <w:rPr>
                <w:rFonts w:eastAsia="Arial Unicode MS"/>
                <w:color w:val="333333"/>
                <w:sz w:val="20"/>
                <w:szCs w:val="20"/>
                <w:shd w:val="clear" w:color="auto" w:fill="FFFFFF"/>
                <w:lang w:val="en-US"/>
              </w:rPr>
              <w:t>]”;</w:t>
            </w:r>
          </w:p>
          <w:p w14:paraId="3E69A286" w14:textId="0D6D23F1" w:rsidR="00FA4976" w:rsidRPr="00FA4976" w:rsidRDefault="00C43796" w:rsidP="00FA4976">
            <w:pPr>
              <w:pStyle w:val="ti-art"/>
              <w:shd w:val="clear" w:color="auto" w:fill="FFFFFF"/>
              <w:spacing w:before="0" w:beforeAutospacing="0" w:after="0" w:afterAutospacing="0"/>
              <w:ind w:left="720"/>
              <w:rPr>
                <w:i/>
                <w:iCs/>
                <w:color w:val="4472C4" w:themeColor="accent1"/>
                <w:sz w:val="20"/>
                <w:szCs w:val="20"/>
                <w:lang w:val="en-US"/>
              </w:rPr>
            </w:pPr>
            <w:hyperlink r:id="rId16" w:tooltip="32012R0622: REPLACED" w:history="1">
              <w:r w:rsidR="00FA4976" w:rsidRPr="00FA4976">
                <w:rPr>
                  <w:rStyle w:val="Hyperlink"/>
                  <w:rFonts w:eastAsia="Arial Unicode MS"/>
                  <w:b/>
                  <w:bCs/>
                  <w:color w:val="4472C4" w:themeColor="accent1"/>
                  <w:sz w:val="20"/>
                  <w:szCs w:val="20"/>
                </w:rPr>
                <w:t>▼M1</w:t>
              </w:r>
            </w:hyperlink>
          </w:p>
          <w:p w14:paraId="3A2006A3" w14:textId="77777777" w:rsidR="00FA4976" w:rsidRDefault="00FA4976">
            <w:pPr>
              <w:pStyle w:val="ti-art"/>
              <w:numPr>
                <w:ilvl w:val="0"/>
                <w:numId w:val="10"/>
              </w:numPr>
              <w:shd w:val="clear" w:color="auto" w:fill="FFFFFF"/>
              <w:spacing w:before="0" w:beforeAutospacing="0" w:after="0" w:afterAutospacing="0"/>
              <w:jc w:val="both"/>
              <w:rPr>
                <w:i/>
                <w:iCs/>
                <w:color w:val="333333"/>
                <w:sz w:val="20"/>
                <w:szCs w:val="20"/>
                <w:lang w:val="en-US"/>
              </w:rPr>
            </w:pPr>
            <w:r w:rsidRPr="00FA4976">
              <w:rPr>
                <w:rFonts w:eastAsia="Arial Unicode MS"/>
                <w:color w:val="333333"/>
                <w:sz w:val="20"/>
                <w:szCs w:val="20"/>
                <w:shd w:val="clear" w:color="auto" w:fill="FFFFFF"/>
                <w:lang w:val="en-US"/>
              </w:rPr>
              <w:t>se furnizează următoarele informații pentru pompele de circulație independente și pentru pompele de circulație integrate în produse: „Indicele de referință pentru cele mai eficiente pompe de circulație este IEE ≤ 0,20.”;</w:t>
            </w:r>
          </w:p>
          <w:p w14:paraId="4A49B2CB" w14:textId="77777777" w:rsidR="00FA4976" w:rsidRPr="00FA4976" w:rsidRDefault="00FA4976">
            <w:pPr>
              <w:pStyle w:val="ti-art"/>
              <w:numPr>
                <w:ilvl w:val="0"/>
                <w:numId w:val="10"/>
              </w:numPr>
              <w:shd w:val="clear" w:color="auto" w:fill="FFFFFF"/>
              <w:spacing w:before="0" w:beforeAutospacing="0" w:after="0" w:afterAutospacing="0"/>
              <w:jc w:val="both"/>
              <w:rPr>
                <w:i/>
                <w:iCs/>
                <w:color w:val="333333"/>
                <w:sz w:val="20"/>
                <w:szCs w:val="20"/>
                <w:lang w:val="en-US"/>
              </w:rPr>
            </w:pPr>
            <w:r w:rsidRPr="00FA4976">
              <w:rPr>
                <w:rFonts w:eastAsia="Arial Unicode MS"/>
                <w:color w:val="333333"/>
                <w:sz w:val="20"/>
                <w:szCs w:val="20"/>
                <w:shd w:val="clear" w:color="auto" w:fill="FFFFFF"/>
                <w:lang w:val="en-US"/>
              </w:rPr>
              <w:t>informațiile privind pompele de circulație independente și pompele de circulație integrate în produse, referitoare la demontare, reciclare sau eliminarea componentelor și a materialelor la sfârșitul ciclului de viață, se furnizează instalațiilor de tratare;</w:t>
            </w:r>
          </w:p>
          <w:p w14:paraId="4B63D5FF" w14:textId="77777777" w:rsidR="00FA4976" w:rsidRPr="00FA4976" w:rsidRDefault="00FA4976">
            <w:pPr>
              <w:pStyle w:val="ti-art"/>
              <w:numPr>
                <w:ilvl w:val="0"/>
                <w:numId w:val="10"/>
              </w:numPr>
              <w:shd w:val="clear" w:color="auto" w:fill="FFFFFF"/>
              <w:spacing w:before="0" w:beforeAutospacing="0" w:after="0" w:afterAutospacing="0"/>
              <w:jc w:val="both"/>
              <w:rPr>
                <w:i/>
                <w:iCs/>
                <w:color w:val="333333"/>
                <w:sz w:val="20"/>
                <w:szCs w:val="20"/>
                <w:lang w:val="en-US"/>
              </w:rPr>
            </w:pPr>
            <w:r w:rsidRPr="00FA4976">
              <w:rPr>
                <w:rFonts w:eastAsia="Arial Unicode MS"/>
                <w:color w:val="333333"/>
                <w:sz w:val="20"/>
                <w:szCs w:val="20"/>
                <w:shd w:val="clear" w:color="auto" w:fill="FFFFFF"/>
                <w:lang w:val="en-US"/>
              </w:rPr>
              <w:t>în cazul pompelor de circulație pentru apă potabilă, următoarele informații se afișează pe ambalaj și se furnizează în documentație: „Această pompă de circulație este indicată numai pentru apa potabilă.”;</w:t>
            </w:r>
          </w:p>
          <w:p w14:paraId="606A559B" w14:textId="33F2D86D" w:rsidR="00FA4976" w:rsidRPr="00FA4976" w:rsidRDefault="00C43796" w:rsidP="00FA4976">
            <w:pPr>
              <w:pStyle w:val="ti-art"/>
              <w:shd w:val="clear" w:color="auto" w:fill="FFFFFF"/>
              <w:spacing w:before="0" w:beforeAutospacing="0" w:after="0" w:afterAutospacing="0"/>
              <w:ind w:left="720"/>
              <w:rPr>
                <w:i/>
                <w:iCs/>
                <w:color w:val="4472C4" w:themeColor="accent1"/>
                <w:sz w:val="20"/>
                <w:szCs w:val="20"/>
                <w:lang w:val="en-US"/>
              </w:rPr>
            </w:pPr>
            <w:hyperlink r:id="rId17" w:tooltip="32019R1781: REPLACED" w:history="1">
              <w:r w:rsidR="00FA4976" w:rsidRPr="00FA4976">
                <w:rPr>
                  <w:rStyle w:val="Hyperlink"/>
                  <w:rFonts w:eastAsia="Arial Unicode MS"/>
                  <w:b/>
                  <w:bCs/>
                  <w:color w:val="4472C4" w:themeColor="accent1"/>
                  <w:sz w:val="20"/>
                  <w:szCs w:val="20"/>
                </w:rPr>
                <w:t>▼M3</w:t>
              </w:r>
            </w:hyperlink>
          </w:p>
          <w:p w14:paraId="36392ED1" w14:textId="77777777" w:rsidR="00FA4976" w:rsidRPr="00FA4976" w:rsidRDefault="00FA4976">
            <w:pPr>
              <w:pStyle w:val="ti-art"/>
              <w:numPr>
                <w:ilvl w:val="0"/>
                <w:numId w:val="10"/>
              </w:numPr>
              <w:shd w:val="clear" w:color="auto" w:fill="FFFFFF"/>
              <w:spacing w:before="0" w:beforeAutospacing="0" w:after="0" w:afterAutospacing="0"/>
              <w:jc w:val="both"/>
              <w:rPr>
                <w:i/>
                <w:iCs/>
                <w:color w:val="333333"/>
                <w:sz w:val="20"/>
                <w:szCs w:val="20"/>
                <w:lang w:val="en-US"/>
              </w:rPr>
            </w:pPr>
            <w:r w:rsidRPr="00FA4976">
              <w:rPr>
                <w:rFonts w:eastAsia="Arial Unicode MS"/>
                <w:color w:val="333333"/>
                <w:sz w:val="20"/>
                <w:szCs w:val="20"/>
                <w:shd w:val="clear" w:color="auto" w:fill="FFFFFF"/>
                <w:lang w:val="en-US"/>
              </w:rPr>
              <w:t xml:space="preserve">pentru pompele de circulație integrate în produse și introduse pe piață nu mai târziu de 1 ianuarie </w:t>
            </w:r>
            <w:r w:rsidRPr="00FA4976">
              <w:rPr>
                <w:rFonts w:eastAsia="Arial Unicode MS"/>
                <w:color w:val="333333"/>
                <w:sz w:val="20"/>
                <w:szCs w:val="20"/>
                <w:shd w:val="clear" w:color="auto" w:fill="FFFFFF"/>
                <w:lang w:val="en-US"/>
              </w:rPr>
              <w:lastRenderedPageBreak/>
              <w:t>2022 ca înlocuitoare pentru pompe de circulație identice integrate în produse și introduse pe piață nu mai târziu de 1 august 2015, pe pompa de circulație de înlocuire sau pe ambalajul acesteia se indică în mod clar produsul (produsele) cărora le este destinată.</w:t>
            </w:r>
          </w:p>
          <w:p w14:paraId="54CD17AA" w14:textId="77777777" w:rsidR="00FA4976" w:rsidRPr="000469A9" w:rsidRDefault="00C43796" w:rsidP="00FA4976">
            <w:pPr>
              <w:pStyle w:val="ti-art"/>
              <w:shd w:val="clear" w:color="auto" w:fill="FFFFFF"/>
              <w:spacing w:before="0" w:beforeAutospacing="0" w:after="0" w:afterAutospacing="0"/>
              <w:ind w:left="720"/>
              <w:rPr>
                <w:color w:val="4472C4" w:themeColor="accent1"/>
                <w:sz w:val="20"/>
                <w:szCs w:val="20"/>
                <w:lang w:val="en-US"/>
              </w:rPr>
            </w:pPr>
            <w:hyperlink r:id="rId18" w:tooltip="32012R0622: REPLACED" w:history="1">
              <w:r w:rsidR="00FA4976" w:rsidRPr="000469A9">
                <w:rPr>
                  <w:rStyle w:val="Hyperlink"/>
                  <w:rFonts w:eastAsia="Arial Unicode MS"/>
                  <w:b/>
                  <w:bCs/>
                  <w:color w:val="4472C4" w:themeColor="accent1"/>
                  <w:sz w:val="20"/>
                  <w:szCs w:val="20"/>
                  <w:lang w:val="en-US"/>
                </w:rPr>
                <w:t>▼M1</w:t>
              </w:r>
            </w:hyperlink>
          </w:p>
          <w:p w14:paraId="5878E2A3" w14:textId="77777777" w:rsidR="00FA4976" w:rsidRPr="000469A9" w:rsidRDefault="00FA4976" w:rsidP="000469A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Producătorii trebuie să furnizeze informații privind modul de instalare, utilizare și întreținere a pompei de circulație în vederea minimizării impactului acesteia asupra mediului.</w:t>
            </w:r>
          </w:p>
          <w:p w14:paraId="7212229A" w14:textId="77777777" w:rsidR="00FA4976" w:rsidRPr="000469A9" w:rsidRDefault="00FA4976" w:rsidP="000469A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Informațiile de mai sus trebuie să fie afișate în mod vizibil pe site-urile web cu acces liber ale producătorilor de pompe de circulație.</w:t>
            </w:r>
          </w:p>
          <w:p w14:paraId="331FFBB5" w14:textId="1EC83E1E" w:rsidR="00FA4976" w:rsidRPr="000469A9" w:rsidRDefault="00C43796">
            <w:pPr>
              <w:pStyle w:val="ti-art"/>
              <w:numPr>
                <w:ilvl w:val="0"/>
                <w:numId w:val="11"/>
              </w:numPr>
              <w:shd w:val="clear" w:color="auto" w:fill="FFFFFF"/>
              <w:spacing w:before="0" w:beforeAutospacing="0" w:after="0" w:afterAutospacing="0"/>
              <w:rPr>
                <w:rStyle w:val="boldface"/>
                <w:i/>
                <w:iCs/>
                <w:color w:val="000000" w:themeColor="text1"/>
                <w:sz w:val="20"/>
                <w:szCs w:val="20"/>
                <w:lang w:val="en-US"/>
              </w:rPr>
            </w:pPr>
            <w:hyperlink r:id="rId19" w:tooltip="32012R0622R(01): REPLACED" w:history="1">
              <w:r w:rsidR="00FA4976" w:rsidRPr="00FA4976">
                <w:rPr>
                  <w:rStyle w:val="boldface"/>
                  <w:rFonts w:eastAsia="Arial Unicode MS"/>
                  <w:b/>
                  <w:bCs/>
                  <w:color w:val="4472C4" w:themeColor="accent1"/>
                  <w:sz w:val="20"/>
                  <w:szCs w:val="20"/>
                  <w:lang w:val="en-US"/>
                </w:rPr>
                <w:t>►C1</w:t>
              </w:r>
            </w:hyperlink>
            <w:r w:rsidR="00FA4976" w:rsidRPr="00FA4976">
              <w:rPr>
                <w:rFonts w:eastAsia="Arial Unicode MS"/>
                <w:color w:val="333333"/>
                <w:sz w:val="20"/>
                <w:szCs w:val="20"/>
                <w:shd w:val="clear" w:color="auto" w:fill="FFFFFF"/>
                <w:lang w:val="en-US"/>
              </w:rPr>
              <w:t xml:space="preserve">De </w:t>
            </w:r>
            <w:r w:rsidR="00FA4976" w:rsidRPr="000469A9">
              <w:rPr>
                <w:rFonts w:eastAsia="Arial Unicode MS"/>
                <w:color w:val="000000" w:themeColor="text1"/>
                <w:sz w:val="20"/>
                <w:szCs w:val="20"/>
                <w:shd w:val="clear" w:color="auto" w:fill="FFFFFF"/>
                <w:lang w:val="en-US"/>
              </w:rPr>
              <w:t>la 1 august 2015, pentru pompele de circulație integrate în produse, indicele de eficiență energetică, calculat în conformitate cu anexa II, se menționează pe placa de identificare a pompei de circulație și în documentația tehnică a produsului, după cum urmează: „EEI ≤ 0,[</w:t>
            </w:r>
            <w:r w:rsidR="00FA4976" w:rsidRPr="000469A9">
              <w:rPr>
                <w:rStyle w:val="italics"/>
                <w:rFonts w:eastAsia="Arial Unicode MS"/>
                <w:i/>
                <w:iCs/>
                <w:color w:val="000000" w:themeColor="text1"/>
                <w:sz w:val="20"/>
                <w:szCs w:val="20"/>
                <w:lang w:val="en-US"/>
              </w:rPr>
              <w:t>xx</w:t>
            </w:r>
            <w:r w:rsidR="00FA4976" w:rsidRPr="000469A9">
              <w:rPr>
                <w:rFonts w:eastAsia="Arial Unicode MS"/>
                <w:color w:val="000000" w:themeColor="text1"/>
                <w:sz w:val="20"/>
                <w:szCs w:val="20"/>
                <w:shd w:val="clear" w:color="auto" w:fill="FFFFFF"/>
                <w:lang w:val="en-US"/>
              </w:rPr>
              <w:t>]”.</w:t>
            </w:r>
            <w:r w:rsidR="00FA4976" w:rsidRPr="000469A9">
              <w:rPr>
                <w:rStyle w:val="boldface"/>
                <w:rFonts w:eastAsia="Arial Unicode MS"/>
                <w:b/>
                <w:bCs/>
                <w:color w:val="000000" w:themeColor="text1"/>
                <w:sz w:val="20"/>
                <w:szCs w:val="20"/>
                <w:lang w:val="en-US"/>
              </w:rPr>
              <w:t>◄</w:t>
            </w:r>
          </w:p>
          <w:p w14:paraId="79AA931A" w14:textId="7E1D0883" w:rsidR="00C43754" w:rsidRPr="00C43754" w:rsidRDefault="00C43796" w:rsidP="00C43754">
            <w:pPr>
              <w:pStyle w:val="ti-art"/>
              <w:shd w:val="clear" w:color="auto" w:fill="FFFFFF"/>
              <w:spacing w:before="0" w:beforeAutospacing="0" w:after="0" w:afterAutospacing="0"/>
              <w:ind w:left="720"/>
              <w:rPr>
                <w:i/>
                <w:iCs/>
                <w:color w:val="333333"/>
                <w:sz w:val="20"/>
                <w:szCs w:val="20"/>
                <w:lang w:val="en-US"/>
              </w:rPr>
            </w:pPr>
            <w:hyperlink r:id="rId20" w:tooltip="32009R0641" w:history="1">
              <w:r w:rsidR="00C43754" w:rsidRPr="00C43754">
                <w:rPr>
                  <w:rStyle w:val="Hyperlink"/>
                  <w:rFonts w:eastAsia="Arial Unicode MS"/>
                  <w:b/>
                  <w:bCs/>
                  <w:color w:val="4472C4" w:themeColor="accent1"/>
                  <w:sz w:val="20"/>
                  <w:szCs w:val="20"/>
                </w:rPr>
                <w:t>▼B</w:t>
              </w:r>
            </w:hyperlink>
          </w:p>
        </w:tc>
        <w:tc>
          <w:tcPr>
            <w:tcW w:w="4394" w:type="dxa"/>
            <w:shd w:val="clear" w:color="auto" w:fill="auto"/>
          </w:tcPr>
          <w:p w14:paraId="1FDA47A1" w14:textId="77777777" w:rsidR="00404625" w:rsidRPr="000E3DBA" w:rsidRDefault="00404625" w:rsidP="004379C5">
            <w:pPr>
              <w:ind w:firstLine="709"/>
              <w:rPr>
                <w:sz w:val="20"/>
                <w:szCs w:val="20"/>
                <w:lang w:val="fr-FR"/>
              </w:rPr>
            </w:pPr>
          </w:p>
        </w:tc>
        <w:tc>
          <w:tcPr>
            <w:tcW w:w="1276" w:type="dxa"/>
            <w:shd w:val="clear" w:color="auto" w:fill="auto"/>
          </w:tcPr>
          <w:p w14:paraId="13FAB6A5" w14:textId="77777777" w:rsidR="00404625" w:rsidRPr="00C951E7" w:rsidRDefault="00404625" w:rsidP="00112048">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43D928A" w14:textId="77777777" w:rsidR="00404625" w:rsidRPr="00AC24A4" w:rsidRDefault="00404625"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92B6D42" w14:textId="7960A3BA" w:rsidR="00404625" w:rsidRPr="00AC24A4" w:rsidRDefault="004379C5"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Prevederile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în Regulamentul cu privire la cerințele de proiectare ecologică aplicabile 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320B4E80" w14:textId="77777777" w:rsidR="00404625" w:rsidRPr="00F77CAB" w:rsidRDefault="00404625" w:rsidP="00112048">
            <w:pPr>
              <w:autoSpaceDE w:val="0"/>
              <w:spacing w:after="0" w:line="240" w:lineRule="auto"/>
              <w:rPr>
                <w:rFonts w:ascii="Times New Roman" w:hAnsi="Times New Roman"/>
                <w:sz w:val="20"/>
                <w:szCs w:val="20"/>
                <w:lang w:val="en-US"/>
              </w:rPr>
            </w:pPr>
          </w:p>
        </w:tc>
      </w:tr>
      <w:tr w:rsidR="00404625" w:rsidRPr="00462A92" w14:paraId="60BDB373" w14:textId="77777777" w:rsidTr="00340B94">
        <w:trPr>
          <w:trHeight w:val="558"/>
        </w:trPr>
        <w:tc>
          <w:tcPr>
            <w:tcW w:w="4957" w:type="dxa"/>
            <w:shd w:val="clear" w:color="auto" w:fill="auto"/>
          </w:tcPr>
          <w:p w14:paraId="7BDA63F1" w14:textId="77777777" w:rsidR="00404625" w:rsidRPr="00832B2D" w:rsidRDefault="00C43754" w:rsidP="00C43754">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832B2D">
              <w:rPr>
                <w:rFonts w:eastAsia="Arial Unicode MS"/>
                <w:i/>
                <w:iCs/>
                <w:color w:val="333333"/>
                <w:sz w:val="20"/>
                <w:szCs w:val="20"/>
                <w:shd w:val="clear" w:color="auto" w:fill="FFFFFF"/>
                <w:lang w:val="en-US"/>
              </w:rPr>
              <w:t>ANEXA II</w:t>
            </w:r>
          </w:p>
          <w:p w14:paraId="44D65903" w14:textId="77777777" w:rsidR="00C43754" w:rsidRDefault="00C43754" w:rsidP="00C43754">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C43754">
              <w:rPr>
                <w:rFonts w:eastAsia="Arial Unicode MS"/>
                <w:b/>
                <w:bCs/>
                <w:color w:val="333333"/>
                <w:sz w:val="20"/>
                <w:szCs w:val="20"/>
                <w:shd w:val="clear" w:color="auto" w:fill="FFFFFF"/>
                <w:lang w:val="en-US"/>
              </w:rPr>
              <w:t>METODE DE MĂSURARE ȘI METODOLOGIA DE CALCULARE A INDICELUI DE EFICIENȚĂ ENERGETICĂ</w:t>
            </w:r>
          </w:p>
          <w:p w14:paraId="3F28395F" w14:textId="1272E5BC" w:rsidR="00C43754" w:rsidRPr="00C43754" w:rsidRDefault="00C43754">
            <w:pPr>
              <w:pStyle w:val="ti-art"/>
              <w:numPr>
                <w:ilvl w:val="0"/>
                <w:numId w:val="26"/>
              </w:numPr>
              <w:shd w:val="clear" w:color="auto" w:fill="FFFFFF"/>
              <w:spacing w:before="0" w:beforeAutospacing="0" w:after="0" w:afterAutospacing="0"/>
              <w:rPr>
                <w:i/>
                <w:iCs/>
                <w:color w:val="333333"/>
                <w:sz w:val="20"/>
                <w:szCs w:val="20"/>
                <w:lang w:val="en-US"/>
              </w:rPr>
            </w:pPr>
            <w:r w:rsidRPr="00C43754">
              <w:rPr>
                <w:rFonts w:eastAsia="Arial Unicode MS"/>
                <w:b/>
                <w:bCs/>
                <w:i/>
                <w:iCs/>
                <w:color w:val="333333"/>
                <w:sz w:val="20"/>
                <w:szCs w:val="20"/>
                <w:shd w:val="clear" w:color="auto" w:fill="FFFFFF"/>
              </w:rPr>
              <w:t>METODE DE MĂSURARE</w:t>
            </w:r>
          </w:p>
          <w:p w14:paraId="009AD5C1" w14:textId="55263D8F" w:rsidR="00C43754" w:rsidRPr="000469A9" w:rsidRDefault="00C43754" w:rsidP="000469A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9A9">
              <w:rPr>
                <w:rFonts w:eastAsia="Arial Unicode MS"/>
                <w:color w:val="000000" w:themeColor="text1"/>
                <w:sz w:val="20"/>
                <w:szCs w:val="20"/>
                <w:shd w:val="clear" w:color="auto" w:fill="FFFFFF"/>
                <w:lang w:val="en-US"/>
              </w:rPr>
              <w:t>În scopul respectării și verificării respectării cerințelor prezentului regulament, măsurătorile se efectuează cu ajutorul unei proceduri de măsurare fiabile, exacte și reproductibile, care să țină seama de stadiul actual al tehnologiei, inclusiv, în cazul în care sunt disponibile, de metodele prevăzute în documentele ale căror numere de referință sunt publicate în acest scop în</w:t>
            </w:r>
            <w:r w:rsidR="000469A9" w:rsidRPr="000469A9">
              <w:rPr>
                <w:rStyle w:val="apple-converted-space"/>
                <w:rFonts w:eastAsia="Arial Unicode MS"/>
                <w:color w:val="000000" w:themeColor="text1"/>
                <w:sz w:val="20"/>
                <w:szCs w:val="20"/>
                <w:shd w:val="clear" w:color="auto" w:fill="FFFFFF"/>
                <w:lang w:val="en-US"/>
              </w:rPr>
              <w:t xml:space="preserve"> </w:t>
            </w:r>
            <w:r w:rsidRPr="000469A9">
              <w:rPr>
                <w:rStyle w:val="italics"/>
                <w:rFonts w:eastAsia="Arial Unicode MS"/>
                <w:i/>
                <w:iCs/>
                <w:color w:val="000000" w:themeColor="text1"/>
                <w:sz w:val="20"/>
                <w:szCs w:val="20"/>
                <w:lang w:val="en-US"/>
              </w:rPr>
              <w:t>Jurnalul Oficial al Uniunii Europene</w:t>
            </w:r>
            <w:r w:rsidRPr="000469A9">
              <w:rPr>
                <w:rFonts w:eastAsia="Arial Unicode MS"/>
                <w:color w:val="000000" w:themeColor="text1"/>
                <w:sz w:val="20"/>
                <w:szCs w:val="20"/>
                <w:shd w:val="clear" w:color="auto" w:fill="FFFFFF"/>
                <w:lang w:val="en-US"/>
              </w:rPr>
              <w:t>.</w:t>
            </w:r>
          </w:p>
          <w:p w14:paraId="2C7A7CDA" w14:textId="77777777" w:rsidR="00C43754" w:rsidRDefault="00C43796" w:rsidP="000469A9">
            <w:pPr>
              <w:pStyle w:val="ti-art"/>
              <w:shd w:val="clear" w:color="auto" w:fill="FFFFFF"/>
              <w:spacing w:before="0" w:beforeAutospacing="0" w:after="0" w:afterAutospacing="0"/>
              <w:jc w:val="both"/>
              <w:rPr>
                <w:color w:val="4472C4" w:themeColor="accent1"/>
                <w:sz w:val="20"/>
                <w:szCs w:val="20"/>
              </w:rPr>
            </w:pPr>
            <w:hyperlink r:id="rId21" w:tooltip="32012R0622: REPLACED" w:history="1">
              <w:r w:rsidR="00C43754" w:rsidRPr="00C43754">
                <w:rPr>
                  <w:rStyle w:val="Hyperlink"/>
                  <w:rFonts w:eastAsia="Arial Unicode MS"/>
                  <w:b/>
                  <w:bCs/>
                  <w:color w:val="4472C4" w:themeColor="accent1"/>
                  <w:sz w:val="20"/>
                  <w:szCs w:val="20"/>
                </w:rPr>
                <w:t>▼M1</w:t>
              </w:r>
            </w:hyperlink>
          </w:p>
          <w:p w14:paraId="137D6CD0" w14:textId="77777777" w:rsidR="00C43754" w:rsidRPr="00C43754" w:rsidRDefault="00C43754">
            <w:pPr>
              <w:pStyle w:val="ti-art"/>
              <w:numPr>
                <w:ilvl w:val="0"/>
                <w:numId w:val="26"/>
              </w:numPr>
              <w:shd w:val="clear" w:color="auto" w:fill="FFFFFF"/>
              <w:spacing w:before="0" w:beforeAutospacing="0" w:after="0" w:afterAutospacing="0"/>
              <w:rPr>
                <w:rStyle w:val="boldface"/>
                <w:i/>
                <w:iCs/>
                <w:color w:val="333333"/>
                <w:sz w:val="20"/>
                <w:szCs w:val="20"/>
                <w:lang w:val="en-US"/>
              </w:rPr>
            </w:pPr>
            <w:r w:rsidRPr="00C43754">
              <w:rPr>
                <w:rStyle w:val="boldface"/>
                <w:rFonts w:eastAsia="Arial Unicode MS"/>
                <w:b/>
                <w:bCs/>
                <w:i/>
                <w:iCs/>
                <w:color w:val="333333"/>
                <w:sz w:val="20"/>
                <w:szCs w:val="20"/>
                <w:lang w:val="en-US"/>
              </w:rPr>
              <w:t>METODOLOGIA DE CALCUL AL INDICELUI DE EFICIENȚĂ ENERGETICĂ</w:t>
            </w:r>
          </w:p>
          <w:p w14:paraId="5A2ADF42" w14:textId="77777777" w:rsidR="00C43754" w:rsidRDefault="00C43754" w:rsidP="00C43754">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C43754">
              <w:rPr>
                <w:rFonts w:eastAsia="Arial Unicode MS"/>
                <w:color w:val="333333"/>
                <w:sz w:val="20"/>
                <w:szCs w:val="20"/>
                <w:shd w:val="clear" w:color="auto" w:fill="FFFFFF"/>
                <w:lang w:val="en-US"/>
              </w:rPr>
              <w:t>Metodologia de calcul al indicelui de eficiență energetică (IEE) pentru pompele de circulație este descrisă în continuare.</w:t>
            </w:r>
          </w:p>
          <w:p w14:paraId="0225F425" w14:textId="77777777" w:rsidR="00C43754" w:rsidRPr="00C43754" w:rsidRDefault="00C43754">
            <w:pPr>
              <w:pStyle w:val="ti-art"/>
              <w:numPr>
                <w:ilvl w:val="0"/>
                <w:numId w:val="13"/>
              </w:numPr>
              <w:shd w:val="clear" w:color="auto" w:fill="FFFFFF"/>
              <w:spacing w:before="0" w:beforeAutospacing="0" w:after="0" w:afterAutospacing="0"/>
              <w:rPr>
                <w:i/>
                <w:iCs/>
                <w:color w:val="333333"/>
                <w:sz w:val="20"/>
                <w:szCs w:val="20"/>
                <w:lang w:val="en-US"/>
              </w:rPr>
            </w:pPr>
            <w:r w:rsidRPr="00C43754">
              <w:rPr>
                <w:rFonts w:eastAsia="Arial Unicode MS"/>
                <w:color w:val="333333"/>
                <w:sz w:val="20"/>
                <w:szCs w:val="20"/>
                <w:shd w:val="clear" w:color="auto" w:fill="FFFFFF"/>
                <w:lang w:val="en-US"/>
              </w:rPr>
              <w:t>În scopul măsurătorilor, pompele de circulație independente cu carcasă se consideră ca fiind o unitate completă.</w:t>
            </w:r>
          </w:p>
          <w:p w14:paraId="643202DC" w14:textId="1DC745AF" w:rsidR="00C43754" w:rsidRDefault="00C43754" w:rsidP="00C43754">
            <w:pPr>
              <w:pStyle w:val="ti-art"/>
              <w:shd w:val="clear" w:color="auto" w:fill="FFFFFF"/>
              <w:spacing w:before="0" w:beforeAutospacing="0" w:after="0" w:afterAutospacing="0"/>
              <w:ind w:left="720"/>
              <w:rPr>
                <w:rFonts w:eastAsia="Arial Unicode MS"/>
                <w:color w:val="333333"/>
                <w:sz w:val="20"/>
                <w:szCs w:val="20"/>
                <w:shd w:val="clear" w:color="auto" w:fill="FFFFFF"/>
                <w:lang w:val="en-US"/>
              </w:rPr>
            </w:pPr>
            <w:r w:rsidRPr="00C43754">
              <w:rPr>
                <w:rFonts w:eastAsia="Arial Unicode MS"/>
                <w:color w:val="333333"/>
                <w:sz w:val="20"/>
                <w:szCs w:val="20"/>
                <w:shd w:val="clear" w:color="auto" w:fill="FFFFFF"/>
                <w:lang w:val="en-US"/>
              </w:rPr>
              <w:t>Măsurătorile pompelor de circulație independente fără carcasă se efectuează utilizând o carcasă identică celei în care pompa este destinată a fi utilizată.</w:t>
            </w:r>
          </w:p>
          <w:p w14:paraId="2A651F58" w14:textId="508FE2EC" w:rsidR="00C43754" w:rsidRDefault="00C43754" w:rsidP="00C43754">
            <w:pPr>
              <w:pStyle w:val="ti-art"/>
              <w:shd w:val="clear" w:color="auto" w:fill="FFFFFF"/>
              <w:spacing w:before="0" w:beforeAutospacing="0" w:after="0" w:afterAutospacing="0"/>
              <w:ind w:left="720"/>
              <w:rPr>
                <w:rFonts w:ascii="Arial Unicode MS" w:eastAsia="Arial Unicode MS" w:hAnsi="Arial Unicode MS" w:cs="Arial Unicode MS"/>
                <w:color w:val="333333"/>
                <w:sz w:val="21"/>
                <w:szCs w:val="21"/>
                <w:shd w:val="clear" w:color="auto" w:fill="FFFFFF"/>
                <w:lang w:val="en-US"/>
              </w:rPr>
            </w:pPr>
            <w:r w:rsidRPr="00C43754">
              <w:rPr>
                <w:rFonts w:eastAsia="Arial Unicode MS"/>
                <w:color w:val="333333"/>
                <w:sz w:val="20"/>
                <w:szCs w:val="20"/>
                <w:shd w:val="clear" w:color="auto" w:fill="FFFFFF"/>
                <w:lang w:val="en-US"/>
              </w:rPr>
              <w:lastRenderedPageBreak/>
              <w:t>Pompele de circulație integrate în produse se scot din produs, iar măsurătorile se efectuează utilizând o carcasă de referință</w:t>
            </w:r>
            <w:r w:rsidRPr="00C43754">
              <w:rPr>
                <w:rFonts w:ascii="Arial Unicode MS" w:eastAsia="Arial Unicode MS" w:hAnsi="Arial Unicode MS" w:cs="Arial Unicode MS" w:hint="eastAsia"/>
                <w:color w:val="333333"/>
                <w:sz w:val="21"/>
                <w:szCs w:val="21"/>
                <w:shd w:val="clear" w:color="auto" w:fill="FFFFFF"/>
                <w:lang w:val="en-US"/>
              </w:rPr>
              <w:t>.</w:t>
            </w:r>
          </w:p>
          <w:p w14:paraId="0A11484A" w14:textId="7600DA8E" w:rsidR="00C43754" w:rsidRDefault="00C43754" w:rsidP="000469A9">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C43754">
              <w:rPr>
                <w:rFonts w:eastAsia="Arial Unicode MS"/>
                <w:color w:val="333333"/>
                <w:sz w:val="20"/>
                <w:szCs w:val="20"/>
                <w:shd w:val="clear" w:color="auto" w:fill="FFFFFF"/>
                <w:lang w:val="en-US"/>
              </w:rPr>
              <w:t>Măsurătorile pompelor de circulație fără carcasă, destinate a fi integrate într-un produs, se efectuează utilizând o carcasă de referință.</w:t>
            </w:r>
          </w:p>
          <w:p w14:paraId="272E30A1" w14:textId="7648F2F2" w:rsidR="00C43754" w:rsidRPr="00C43754" w:rsidRDefault="00C43754" w:rsidP="000469A9">
            <w:pPr>
              <w:pStyle w:val="ti-art"/>
              <w:shd w:val="clear" w:color="auto" w:fill="FFFFFF"/>
              <w:spacing w:before="0" w:beforeAutospacing="0" w:after="0" w:afterAutospacing="0"/>
              <w:ind w:left="720"/>
              <w:jc w:val="both"/>
              <w:rPr>
                <w:i/>
                <w:iCs/>
                <w:color w:val="333333"/>
                <w:sz w:val="20"/>
                <w:szCs w:val="20"/>
                <w:lang w:val="en-US"/>
              </w:rPr>
            </w:pPr>
            <w:r w:rsidRPr="00C43754">
              <w:rPr>
                <w:rFonts w:eastAsia="Arial Unicode MS"/>
                <w:color w:val="333333"/>
                <w:sz w:val="20"/>
                <w:szCs w:val="20"/>
                <w:shd w:val="clear" w:color="auto" w:fill="FFFFFF"/>
                <w:lang w:val="en-US"/>
              </w:rPr>
              <w:t>„Carcasă de referință” înseamnă o carcasă de pompă furnizată de fabricant, cu racordurile de intrare și de ieșire situate pe aceeași axă, proiectată pentru racordare la conductele unui sistem de încălzire sau ale unui circuit secundar al unui sistem de distribuție a agentului de răcire.</w:t>
            </w:r>
          </w:p>
          <w:p w14:paraId="027248E5" w14:textId="77777777" w:rsidR="00C43754" w:rsidRPr="00C43754" w:rsidRDefault="00C43754">
            <w:pPr>
              <w:pStyle w:val="ti-art"/>
              <w:numPr>
                <w:ilvl w:val="0"/>
                <w:numId w:val="13"/>
              </w:numPr>
              <w:shd w:val="clear" w:color="auto" w:fill="FFFFFF"/>
              <w:spacing w:before="0" w:beforeAutospacing="0" w:after="0" w:afterAutospacing="0"/>
              <w:jc w:val="both"/>
              <w:rPr>
                <w:i/>
                <w:iCs/>
                <w:color w:val="333333"/>
                <w:sz w:val="20"/>
                <w:szCs w:val="20"/>
                <w:lang w:val="en-US"/>
              </w:rPr>
            </w:pPr>
            <w:r w:rsidRPr="00C43754">
              <w:rPr>
                <w:rFonts w:eastAsia="Arial Unicode MS"/>
                <w:color w:val="333333"/>
                <w:sz w:val="20"/>
                <w:szCs w:val="20"/>
                <w:shd w:val="clear" w:color="auto" w:fill="FFFFFF"/>
                <w:lang w:val="en-US"/>
              </w:rPr>
              <w:t>Dacă pompa de circulație are mai multe valori setate pentru înălțimea de pompare și pentru debit, măsurătorile se efectuează la valorile maxime setate.</w:t>
            </w:r>
          </w:p>
          <w:p w14:paraId="7808F58D" w14:textId="3CC0A918" w:rsidR="00C43754" w:rsidRDefault="00C43754" w:rsidP="000469A9">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C43754">
              <w:rPr>
                <w:rFonts w:eastAsia="Arial Unicode MS"/>
                <w:color w:val="333333"/>
                <w:sz w:val="20"/>
                <w:szCs w:val="20"/>
                <w:shd w:val="clear" w:color="auto" w:fill="FFFFFF"/>
                <w:lang w:val="en-US"/>
              </w:rPr>
              <w:t>„Înălțimea de pompare” (H) înseamnă înălțimea de pompare (în metri) produsă de pompa de circulație în punctul de funcționare specificat.</w:t>
            </w:r>
          </w:p>
          <w:p w14:paraId="4DD99D16" w14:textId="6CDCD749" w:rsidR="00C43754" w:rsidRPr="00C43754" w:rsidRDefault="00C43754" w:rsidP="000469A9">
            <w:pPr>
              <w:pStyle w:val="ti-art"/>
              <w:shd w:val="clear" w:color="auto" w:fill="FFFFFF"/>
              <w:spacing w:before="0" w:beforeAutospacing="0" w:after="0" w:afterAutospacing="0"/>
              <w:ind w:left="720"/>
              <w:jc w:val="both"/>
              <w:rPr>
                <w:i/>
                <w:iCs/>
                <w:color w:val="333333"/>
                <w:sz w:val="20"/>
                <w:szCs w:val="20"/>
                <w:lang w:val="en-US"/>
              </w:rPr>
            </w:pPr>
            <w:r w:rsidRPr="00C43754">
              <w:rPr>
                <w:rFonts w:eastAsia="Arial Unicode MS"/>
                <w:color w:val="333333"/>
                <w:sz w:val="20"/>
                <w:szCs w:val="20"/>
                <w:shd w:val="clear" w:color="auto" w:fill="FFFFFF"/>
                <w:lang w:val="en-US"/>
              </w:rPr>
              <w:t>„Debitul” (Q) înseamnă debitul volumetric de apă care trece prin pompa de circulație (m</w:t>
            </w:r>
            <w:r w:rsidRPr="00C43754">
              <w:rPr>
                <w:rStyle w:val="superscript"/>
                <w:rFonts w:eastAsia="Arial Unicode MS"/>
                <w:color w:val="333333"/>
                <w:sz w:val="20"/>
                <w:szCs w:val="20"/>
                <w:vertAlign w:val="superscript"/>
                <w:lang w:val="en-US"/>
              </w:rPr>
              <w:t>3</w:t>
            </w:r>
            <w:r w:rsidRPr="00C43754">
              <w:rPr>
                <w:rFonts w:eastAsia="Arial Unicode MS"/>
                <w:color w:val="333333"/>
                <w:sz w:val="20"/>
                <w:szCs w:val="20"/>
                <w:shd w:val="clear" w:color="auto" w:fill="FFFFFF"/>
                <w:lang w:val="en-US"/>
              </w:rPr>
              <w:t>/h).</w:t>
            </w:r>
          </w:p>
          <w:p w14:paraId="20937EDE" w14:textId="46FC8BE3" w:rsidR="00C43754" w:rsidRPr="00C43754" w:rsidRDefault="00C43754">
            <w:pPr>
              <w:pStyle w:val="ti-art"/>
              <w:numPr>
                <w:ilvl w:val="0"/>
                <w:numId w:val="13"/>
              </w:numPr>
              <w:shd w:val="clear" w:color="auto" w:fill="FFFFFF"/>
              <w:spacing w:before="0" w:beforeAutospacing="0" w:after="0" w:afterAutospacing="0"/>
              <w:jc w:val="both"/>
              <w:rPr>
                <w:i/>
                <w:iCs/>
                <w:color w:val="333333"/>
                <w:sz w:val="20"/>
                <w:szCs w:val="20"/>
                <w:lang w:val="en-US"/>
              </w:rPr>
            </w:pPr>
            <w:r w:rsidRPr="00C43754">
              <w:rPr>
                <w:rFonts w:eastAsia="Arial Unicode MS"/>
                <w:color w:val="333333"/>
                <w:sz w:val="20"/>
                <w:szCs w:val="20"/>
                <w:shd w:val="clear" w:color="auto" w:fill="FFFFFF"/>
                <w:lang w:val="en-US"/>
              </w:rPr>
              <w:t>Se identifică punctul în care produsul</w:t>
            </w:r>
            <w:r w:rsidR="000469A9">
              <w:rPr>
                <w:rStyle w:val="apple-converted-space"/>
                <w:rFonts w:eastAsia="Arial Unicode MS"/>
                <w:color w:val="333333"/>
                <w:sz w:val="20"/>
                <w:szCs w:val="20"/>
                <w:shd w:val="clear" w:color="auto" w:fill="FFFFFF"/>
                <w:lang w:val="en-US"/>
              </w:rPr>
              <w:t xml:space="preserve"> </w:t>
            </w:r>
            <w:r w:rsidRPr="00C43754">
              <w:rPr>
                <w:rStyle w:val="italics"/>
                <w:rFonts w:eastAsia="Arial Unicode MS"/>
                <w:i/>
                <w:iCs/>
                <w:color w:val="333333"/>
                <w:sz w:val="20"/>
                <w:szCs w:val="20"/>
                <w:lang w:val="en-US"/>
              </w:rPr>
              <w:t xml:space="preserve">Q </w:t>
            </w:r>
            <w:r w:rsidRPr="00C43754">
              <w:rPr>
                <w:rStyle w:val="italics"/>
                <w:rFonts w:eastAsia="Arial Unicode MS"/>
                <w:i/>
                <w:iCs/>
                <w:color w:val="333333"/>
                <w:sz w:val="20"/>
                <w:szCs w:val="20"/>
              </w:rPr>
              <w:t>·</w:t>
            </w:r>
            <w:r w:rsidRPr="00C43754">
              <w:rPr>
                <w:rStyle w:val="italics"/>
                <w:rFonts w:eastAsia="Arial Unicode MS"/>
                <w:i/>
                <w:iCs/>
                <w:color w:val="333333"/>
                <w:sz w:val="20"/>
                <w:szCs w:val="20"/>
                <w:lang w:val="en-US"/>
              </w:rPr>
              <w:t xml:space="preserve"> H</w:t>
            </w:r>
            <w:r w:rsidR="000469A9">
              <w:rPr>
                <w:rStyle w:val="apple-converted-space"/>
                <w:rFonts w:eastAsia="Arial Unicode MS"/>
                <w:color w:val="333333"/>
                <w:sz w:val="20"/>
                <w:szCs w:val="20"/>
                <w:shd w:val="clear" w:color="auto" w:fill="FFFFFF"/>
                <w:lang w:val="en-US"/>
              </w:rPr>
              <w:t xml:space="preserve"> </w:t>
            </w:r>
            <w:r w:rsidRPr="00C43754">
              <w:rPr>
                <w:rFonts w:eastAsia="Arial Unicode MS"/>
                <w:color w:val="333333"/>
                <w:sz w:val="20"/>
                <w:szCs w:val="20"/>
                <w:shd w:val="clear" w:color="auto" w:fill="FFFFFF"/>
                <w:lang w:val="en-US"/>
              </w:rPr>
              <w:t>este maxim și se definesc debitul și înălțimea de pompare în acest punct ca fiind:</w:t>
            </w:r>
            <w:r w:rsidR="000469A9">
              <w:rPr>
                <w:rStyle w:val="apple-converted-space"/>
                <w:rFonts w:eastAsia="Arial Unicode MS"/>
                <w:color w:val="333333"/>
                <w:sz w:val="20"/>
                <w:szCs w:val="20"/>
                <w:shd w:val="clear" w:color="auto" w:fill="FFFFFF"/>
                <w:lang w:val="en-US"/>
              </w:rPr>
              <w:t xml:space="preserve"> </w:t>
            </w:r>
            <w:r w:rsidRPr="00C43754">
              <w:rPr>
                <w:rStyle w:val="italics"/>
                <w:rFonts w:eastAsia="Arial Unicode MS"/>
                <w:i/>
                <w:iCs/>
                <w:color w:val="333333"/>
                <w:sz w:val="20"/>
                <w:szCs w:val="20"/>
                <w:lang w:val="en-US"/>
              </w:rPr>
              <w:t>Q</w:t>
            </w:r>
            <w:r w:rsidRPr="00C43754">
              <w:rPr>
                <w:rStyle w:val="subscript"/>
                <w:rFonts w:eastAsia="Arial Unicode MS"/>
                <w:i/>
                <w:iCs/>
                <w:color w:val="333333"/>
                <w:sz w:val="20"/>
                <w:szCs w:val="20"/>
                <w:vertAlign w:val="subscript"/>
                <w:lang w:val="en-US"/>
              </w:rPr>
              <w:t>100</w:t>
            </w:r>
            <w:r w:rsidR="000469A9">
              <w:rPr>
                <w:rStyle w:val="subscript"/>
                <w:rFonts w:eastAsia="Arial Unicode MS"/>
                <w:i/>
                <w:iCs/>
                <w:color w:val="333333"/>
                <w:sz w:val="20"/>
                <w:szCs w:val="20"/>
                <w:vertAlign w:val="subscript"/>
                <w:lang w:val="en-US"/>
              </w:rPr>
              <w:t xml:space="preserve"> </w:t>
            </w:r>
            <w:r w:rsidRPr="00C43754">
              <w:rPr>
                <w:rStyle w:val="subscript"/>
                <w:rFonts w:eastAsia="Arial Unicode MS"/>
                <w:i/>
                <w:iCs/>
                <w:color w:val="333333"/>
                <w:sz w:val="20"/>
                <w:szCs w:val="20"/>
                <w:vertAlign w:val="subscript"/>
                <w:lang w:val="en-US"/>
              </w:rPr>
              <w:t>%</w:t>
            </w:r>
            <w:r w:rsidRPr="00C43754">
              <w:rPr>
                <w:rFonts w:eastAsia="Arial Unicode MS"/>
                <w:color w:val="333333"/>
                <w:sz w:val="20"/>
                <w:szCs w:val="20"/>
                <w:shd w:val="clear" w:color="auto" w:fill="FFFFFF"/>
                <w:lang w:val="en-US"/>
              </w:rPr>
              <w:t>și</w:t>
            </w:r>
            <w:r w:rsidR="000469A9">
              <w:rPr>
                <w:rStyle w:val="apple-converted-space"/>
                <w:rFonts w:eastAsia="Arial Unicode MS"/>
                <w:color w:val="333333"/>
                <w:sz w:val="20"/>
                <w:szCs w:val="20"/>
                <w:shd w:val="clear" w:color="auto" w:fill="FFFFFF"/>
                <w:lang w:val="en-US"/>
              </w:rPr>
              <w:t xml:space="preserve"> </w:t>
            </w:r>
            <w:r w:rsidRPr="00C43754">
              <w:rPr>
                <w:rStyle w:val="italics"/>
                <w:rFonts w:eastAsia="Arial Unicode MS"/>
                <w:i/>
                <w:iCs/>
                <w:color w:val="333333"/>
                <w:sz w:val="20"/>
                <w:szCs w:val="20"/>
                <w:lang w:val="en-US"/>
              </w:rPr>
              <w:t>H</w:t>
            </w:r>
            <w:r w:rsidRPr="00C43754">
              <w:rPr>
                <w:rStyle w:val="subscript"/>
                <w:rFonts w:eastAsia="Arial Unicode MS"/>
                <w:i/>
                <w:iCs/>
                <w:color w:val="333333"/>
                <w:sz w:val="20"/>
                <w:szCs w:val="20"/>
                <w:vertAlign w:val="subscript"/>
                <w:lang w:val="en-US"/>
              </w:rPr>
              <w:t>100 %</w:t>
            </w:r>
            <w:r w:rsidRPr="00C43754">
              <w:rPr>
                <w:rFonts w:eastAsia="Arial Unicode MS"/>
                <w:color w:val="333333"/>
                <w:sz w:val="20"/>
                <w:szCs w:val="20"/>
                <w:shd w:val="clear" w:color="auto" w:fill="FFFFFF"/>
                <w:lang w:val="en-US"/>
              </w:rPr>
              <w:t>.</w:t>
            </w:r>
          </w:p>
          <w:p w14:paraId="53CD107A" w14:textId="1B257061" w:rsidR="00C43754" w:rsidRPr="00C43754" w:rsidRDefault="00C43754">
            <w:pPr>
              <w:pStyle w:val="ti-art"/>
              <w:numPr>
                <w:ilvl w:val="0"/>
                <w:numId w:val="13"/>
              </w:numPr>
              <w:shd w:val="clear" w:color="auto" w:fill="FFFFFF"/>
              <w:spacing w:before="0" w:beforeAutospacing="0" w:after="0" w:afterAutospacing="0"/>
              <w:jc w:val="both"/>
              <w:rPr>
                <w:i/>
                <w:iCs/>
                <w:color w:val="333333"/>
                <w:sz w:val="20"/>
                <w:szCs w:val="20"/>
                <w:lang w:val="en-US"/>
              </w:rPr>
            </w:pPr>
            <w:r w:rsidRPr="00C43754">
              <w:rPr>
                <w:rFonts w:eastAsia="Arial Unicode MS"/>
                <w:color w:val="333333"/>
                <w:sz w:val="20"/>
                <w:szCs w:val="20"/>
                <w:shd w:val="clear" w:color="auto" w:fill="FFFFFF"/>
                <w:lang w:val="en-US"/>
              </w:rPr>
              <w:t>Se calculează puterea hidraulică</w:t>
            </w:r>
            <w:r w:rsidR="000469A9">
              <w:rPr>
                <w:rStyle w:val="apple-converted-space"/>
                <w:rFonts w:eastAsia="Arial Unicode MS"/>
                <w:color w:val="333333"/>
                <w:sz w:val="20"/>
                <w:szCs w:val="20"/>
                <w:shd w:val="clear" w:color="auto" w:fill="FFFFFF"/>
                <w:lang w:val="en-US"/>
              </w:rPr>
              <w:t xml:space="preserve"> </w:t>
            </w:r>
            <w:r w:rsidRPr="00C43754">
              <w:rPr>
                <w:rStyle w:val="italics"/>
                <w:rFonts w:eastAsia="Arial Unicode MS"/>
                <w:i/>
                <w:iCs/>
                <w:color w:val="333333"/>
                <w:sz w:val="20"/>
                <w:szCs w:val="20"/>
                <w:lang w:val="en-US"/>
              </w:rPr>
              <w:t>P</w:t>
            </w:r>
            <w:r w:rsidRPr="00C43754">
              <w:rPr>
                <w:rStyle w:val="subscript"/>
                <w:rFonts w:eastAsia="Arial Unicode MS"/>
                <w:i/>
                <w:iCs/>
                <w:color w:val="333333"/>
                <w:sz w:val="20"/>
                <w:szCs w:val="20"/>
                <w:vertAlign w:val="subscript"/>
                <w:lang w:val="en-US"/>
              </w:rPr>
              <w:t>hid</w:t>
            </w:r>
            <w:r w:rsidR="000469A9">
              <w:rPr>
                <w:rStyle w:val="apple-converted-space"/>
                <w:rFonts w:eastAsia="Arial Unicode MS"/>
                <w:i/>
                <w:iCs/>
                <w:color w:val="333333"/>
                <w:sz w:val="20"/>
                <w:szCs w:val="20"/>
                <w:lang w:val="en-US"/>
              </w:rPr>
              <w:t xml:space="preserve"> </w:t>
            </w:r>
            <w:r w:rsidRPr="00C43754">
              <w:rPr>
                <w:rFonts w:eastAsia="Arial Unicode MS"/>
                <w:color w:val="333333"/>
                <w:sz w:val="20"/>
                <w:szCs w:val="20"/>
                <w:shd w:val="clear" w:color="auto" w:fill="FFFFFF"/>
                <w:lang w:val="en-US"/>
              </w:rPr>
              <w:t>în acest punct.</w:t>
            </w:r>
          </w:p>
          <w:p w14:paraId="39421266" w14:textId="20120D72" w:rsidR="00C43754" w:rsidRDefault="00C43754" w:rsidP="00C43754">
            <w:pPr>
              <w:pStyle w:val="ti-art"/>
              <w:shd w:val="clear" w:color="auto" w:fill="FFFFFF"/>
              <w:spacing w:before="0" w:beforeAutospacing="0" w:after="0" w:afterAutospacing="0"/>
              <w:ind w:left="720"/>
              <w:rPr>
                <w:rFonts w:eastAsia="Arial Unicode MS"/>
                <w:color w:val="333333"/>
                <w:sz w:val="20"/>
                <w:szCs w:val="20"/>
                <w:shd w:val="clear" w:color="auto" w:fill="FFFFFF"/>
                <w:lang w:val="en-US"/>
              </w:rPr>
            </w:pPr>
            <w:r w:rsidRPr="00C43754">
              <w:rPr>
                <w:rFonts w:eastAsia="Arial Unicode MS"/>
                <w:color w:val="333333"/>
                <w:sz w:val="20"/>
                <w:szCs w:val="20"/>
                <w:shd w:val="clear" w:color="auto" w:fill="FFFFFF"/>
                <w:lang w:val="en-US"/>
              </w:rPr>
              <w:t>„Puterea hidraulică” este produsul aritmetic dintre debitul (Q), înălțimea de pompare (H) și o constantă.</w:t>
            </w:r>
          </w:p>
          <w:p w14:paraId="2A616D0E" w14:textId="63486EDC" w:rsidR="00534916" w:rsidRPr="00534916" w:rsidRDefault="00534916" w:rsidP="000469A9">
            <w:pPr>
              <w:pStyle w:val="ti-art"/>
              <w:shd w:val="clear" w:color="auto" w:fill="FFFFFF"/>
              <w:spacing w:before="0" w:beforeAutospacing="0" w:after="0" w:afterAutospacing="0"/>
              <w:ind w:left="720"/>
              <w:jc w:val="both"/>
              <w:rPr>
                <w:i/>
                <w:iCs/>
                <w:color w:val="333333"/>
                <w:sz w:val="20"/>
                <w:szCs w:val="20"/>
                <w:lang w:val="en-US"/>
              </w:rPr>
            </w:pPr>
            <w:r w:rsidRPr="00534916">
              <w:rPr>
                <w:rFonts w:eastAsia="Arial Unicode MS"/>
                <w:color w:val="333333"/>
                <w:sz w:val="20"/>
                <w:szCs w:val="20"/>
                <w:shd w:val="clear" w:color="auto" w:fill="FFFFFF"/>
                <w:lang w:val="en-US"/>
              </w:rPr>
              <w:t>„P</w:t>
            </w:r>
            <w:r w:rsidRPr="00534916">
              <w:rPr>
                <w:rStyle w:val="subscript"/>
                <w:rFonts w:eastAsia="Arial Unicode MS"/>
                <w:color w:val="333333"/>
                <w:sz w:val="20"/>
                <w:szCs w:val="20"/>
                <w:vertAlign w:val="subscript"/>
                <w:lang w:val="en-US"/>
              </w:rPr>
              <w:t>hid</w:t>
            </w:r>
            <w:r w:rsidRPr="00534916">
              <w:rPr>
                <w:rFonts w:eastAsia="Arial Unicode MS"/>
                <w:color w:val="333333"/>
                <w:sz w:val="20"/>
                <w:szCs w:val="20"/>
                <w:shd w:val="clear" w:color="auto" w:fill="FFFFFF"/>
                <w:lang w:val="en-US"/>
              </w:rPr>
              <w:t>” este puterea hidraulică transmisă de pompa de circulație fluidului pompat în punctul de funcționare specificat (în wați).</w:t>
            </w:r>
          </w:p>
          <w:p w14:paraId="115BC309" w14:textId="77777777" w:rsidR="00C43754" w:rsidRPr="00534916" w:rsidRDefault="00534916">
            <w:pPr>
              <w:pStyle w:val="ti-art"/>
              <w:numPr>
                <w:ilvl w:val="0"/>
                <w:numId w:val="13"/>
              </w:numPr>
              <w:shd w:val="clear" w:color="auto" w:fill="FFFFFF"/>
              <w:spacing w:before="0" w:beforeAutospacing="0" w:after="0" w:afterAutospacing="0"/>
              <w:rPr>
                <w:i/>
                <w:iCs/>
                <w:color w:val="333333"/>
                <w:sz w:val="20"/>
                <w:szCs w:val="20"/>
                <w:lang w:val="en-US"/>
              </w:rPr>
            </w:pPr>
            <w:r w:rsidRPr="00534916">
              <w:rPr>
                <w:rFonts w:eastAsia="Arial Unicode MS"/>
                <w:color w:val="333333"/>
                <w:sz w:val="20"/>
                <w:szCs w:val="20"/>
                <w:shd w:val="clear" w:color="auto" w:fill="FFFFFF"/>
                <w:lang w:val="en-US"/>
              </w:rPr>
              <w:t>Se calculează puterea de referință după cum urmează:</w:t>
            </w:r>
          </w:p>
          <w:p w14:paraId="0CBD6F00" w14:textId="1B820226" w:rsidR="00534916" w:rsidRDefault="00534916" w:rsidP="00534916">
            <w:pPr>
              <w:pStyle w:val="ti-art"/>
              <w:shd w:val="clear" w:color="auto" w:fill="FFFFFF"/>
              <w:spacing w:before="0" w:beforeAutospacing="0" w:after="0" w:afterAutospacing="0"/>
              <w:ind w:left="720"/>
              <w:rPr>
                <w:rFonts w:eastAsia="Arial Unicode MS"/>
                <w:color w:val="333333"/>
                <w:sz w:val="20"/>
                <w:szCs w:val="20"/>
                <w:shd w:val="clear" w:color="auto" w:fill="FFFFFF"/>
                <w:lang w:val="en-US"/>
              </w:rPr>
            </w:pPr>
            <w:r w:rsidRPr="00534916">
              <w:rPr>
                <w:rStyle w:val="italics"/>
                <w:rFonts w:eastAsia="Arial Unicode MS"/>
                <w:i/>
                <w:iCs/>
                <w:color w:val="333333"/>
                <w:sz w:val="20"/>
                <w:szCs w:val="20"/>
                <w:lang w:val="en-US"/>
              </w:rPr>
              <w:t>P</w:t>
            </w:r>
            <w:r w:rsidRPr="00534916">
              <w:rPr>
                <w:rStyle w:val="subscript"/>
                <w:rFonts w:eastAsia="Arial Unicode MS"/>
                <w:i/>
                <w:iCs/>
                <w:color w:val="333333"/>
                <w:sz w:val="20"/>
                <w:szCs w:val="20"/>
                <w:vertAlign w:val="subscript"/>
                <w:lang w:val="en-US"/>
              </w:rPr>
              <w:t>ref</w:t>
            </w:r>
            <w:r w:rsidR="000469A9">
              <w:rPr>
                <w:rStyle w:val="apple-converted-space"/>
                <w:rFonts w:eastAsia="Arial Unicode MS"/>
                <w:i/>
                <w:iCs/>
                <w:color w:val="333333"/>
                <w:sz w:val="20"/>
                <w:szCs w:val="20"/>
                <w:lang w:val="en-US"/>
              </w:rPr>
              <w:t xml:space="preserve"> </w:t>
            </w:r>
            <w:r w:rsidRPr="00534916">
              <w:rPr>
                <w:rFonts w:eastAsia="Arial Unicode MS"/>
                <w:color w:val="333333"/>
                <w:sz w:val="20"/>
                <w:szCs w:val="20"/>
                <w:shd w:val="clear" w:color="auto" w:fill="FFFFFF"/>
                <w:lang w:val="en-US"/>
              </w:rPr>
              <w:t>= 1,7</w:t>
            </w:r>
            <w:r w:rsidRPr="00534916">
              <w:rPr>
                <w:rFonts w:eastAsia="Arial Unicode MS"/>
                <w:color w:val="333333"/>
                <w:sz w:val="20"/>
                <w:szCs w:val="20"/>
                <w:shd w:val="clear" w:color="auto" w:fill="FFFFFF"/>
              </w:rPr>
              <w:t>·</w:t>
            </w:r>
            <w:r w:rsidRPr="00534916">
              <w:rPr>
                <w:rStyle w:val="italics"/>
                <w:rFonts w:eastAsia="Arial Unicode MS"/>
                <w:i/>
                <w:iCs/>
                <w:color w:val="333333"/>
                <w:sz w:val="20"/>
                <w:szCs w:val="20"/>
                <w:lang w:val="en-US"/>
              </w:rPr>
              <w:t>P</w:t>
            </w:r>
            <w:r w:rsidRPr="00534916">
              <w:rPr>
                <w:rStyle w:val="subscript"/>
                <w:rFonts w:eastAsia="Arial Unicode MS"/>
                <w:i/>
                <w:iCs/>
                <w:color w:val="333333"/>
                <w:sz w:val="20"/>
                <w:szCs w:val="20"/>
                <w:vertAlign w:val="subscript"/>
                <w:lang w:val="en-US"/>
              </w:rPr>
              <w:t>hid</w:t>
            </w:r>
            <w:r w:rsidRPr="00534916">
              <w:rPr>
                <w:rFonts w:eastAsia="Arial Unicode MS"/>
                <w:color w:val="333333"/>
                <w:sz w:val="20"/>
                <w:szCs w:val="20"/>
                <w:shd w:val="clear" w:color="auto" w:fill="FFFFFF"/>
                <w:lang w:val="en-US"/>
              </w:rPr>
              <w:t>+ 17</w:t>
            </w:r>
            <w:r w:rsidRPr="00534916">
              <w:rPr>
                <w:rFonts w:eastAsia="Arial Unicode MS"/>
                <w:color w:val="333333"/>
                <w:sz w:val="20"/>
                <w:szCs w:val="20"/>
                <w:shd w:val="clear" w:color="auto" w:fill="FFFFFF"/>
              </w:rPr>
              <w:t>·</w:t>
            </w:r>
            <w:r w:rsidRPr="00534916">
              <w:rPr>
                <w:rFonts w:eastAsia="Arial Unicode MS"/>
                <w:color w:val="333333"/>
                <w:sz w:val="20"/>
                <w:szCs w:val="20"/>
                <w:shd w:val="clear" w:color="auto" w:fill="FFFFFF"/>
                <w:lang w:val="en-US"/>
              </w:rPr>
              <w:t xml:space="preserve"> (1 –</w:t>
            </w:r>
            <w:r w:rsidRPr="00534916">
              <w:rPr>
                <w:rStyle w:val="italics"/>
                <w:rFonts w:eastAsia="Arial Unicode MS"/>
                <w:i/>
                <w:iCs/>
                <w:color w:val="333333"/>
                <w:sz w:val="20"/>
                <w:szCs w:val="20"/>
                <w:lang w:val="en-US"/>
              </w:rPr>
              <w:t>e</w:t>
            </w:r>
            <w:r w:rsidRPr="00534916">
              <w:rPr>
                <w:rStyle w:val="superscript"/>
                <w:rFonts w:eastAsia="Arial Unicode MS"/>
                <w:i/>
                <w:iCs/>
                <w:color w:val="333333"/>
                <w:sz w:val="20"/>
                <w:szCs w:val="20"/>
                <w:vertAlign w:val="superscript"/>
                <w:lang w:val="en-US"/>
              </w:rPr>
              <w:t>– 0,3</w:t>
            </w:r>
            <w:r w:rsidRPr="00534916">
              <w:rPr>
                <w:rStyle w:val="superscript"/>
                <w:rFonts w:eastAsia="Arial Unicode MS"/>
                <w:i/>
                <w:iCs/>
                <w:color w:val="333333"/>
                <w:sz w:val="20"/>
                <w:szCs w:val="20"/>
                <w:vertAlign w:val="superscript"/>
              </w:rPr>
              <w:t>·</w:t>
            </w:r>
            <w:r w:rsidRPr="00534916">
              <w:rPr>
                <w:rStyle w:val="superscript"/>
                <w:rFonts w:eastAsia="Arial Unicode MS"/>
                <w:i/>
                <w:iCs/>
                <w:color w:val="333333"/>
                <w:sz w:val="20"/>
                <w:szCs w:val="20"/>
                <w:vertAlign w:val="superscript"/>
                <w:lang w:val="en-US"/>
              </w:rPr>
              <w:t xml:space="preserve"> P</w:t>
            </w:r>
            <w:r w:rsidRPr="00534916">
              <w:rPr>
                <w:rStyle w:val="subscript"/>
                <w:rFonts w:eastAsia="Arial Unicode MS"/>
                <w:i/>
                <w:iCs/>
                <w:color w:val="333333"/>
                <w:sz w:val="20"/>
                <w:szCs w:val="20"/>
                <w:vertAlign w:val="subscript"/>
                <w:lang w:val="en-US"/>
              </w:rPr>
              <w:t>hid</w:t>
            </w:r>
            <w:r w:rsidRPr="00534916">
              <w:rPr>
                <w:rFonts w:eastAsia="Arial Unicode MS"/>
                <w:color w:val="333333"/>
                <w:sz w:val="20"/>
                <w:szCs w:val="20"/>
                <w:shd w:val="clear" w:color="auto" w:fill="FFFFFF"/>
                <w:lang w:val="en-US"/>
              </w:rPr>
              <w:t>), 1W ≤ P</w:t>
            </w:r>
            <w:r w:rsidRPr="00534916">
              <w:rPr>
                <w:rStyle w:val="subscript"/>
                <w:rFonts w:eastAsia="Arial Unicode MS"/>
                <w:color w:val="333333"/>
                <w:sz w:val="20"/>
                <w:szCs w:val="20"/>
                <w:vertAlign w:val="subscript"/>
                <w:lang w:val="en-US"/>
              </w:rPr>
              <w:t>hyd</w:t>
            </w:r>
            <w:r w:rsidR="000469A9" w:rsidRPr="000469A9">
              <w:rPr>
                <w:rStyle w:val="apple-converted-space"/>
                <w:rFonts w:eastAsia="Arial Unicode MS"/>
                <w:shd w:val="clear" w:color="auto" w:fill="FFFFFF"/>
                <w:lang w:val="en-US"/>
              </w:rPr>
              <w:t xml:space="preserve"> </w:t>
            </w:r>
            <w:r w:rsidRPr="00534916">
              <w:rPr>
                <w:rFonts w:eastAsia="Arial Unicode MS"/>
                <w:color w:val="333333"/>
                <w:sz w:val="20"/>
                <w:szCs w:val="20"/>
                <w:shd w:val="clear" w:color="auto" w:fill="FFFFFF"/>
                <w:lang w:val="en-US"/>
              </w:rPr>
              <w:t>≤ 2</w:t>
            </w:r>
            <w:r w:rsidR="000469A9">
              <w:rPr>
                <w:rFonts w:eastAsia="Arial Unicode MS"/>
                <w:color w:val="333333"/>
                <w:sz w:val="20"/>
                <w:szCs w:val="20"/>
                <w:shd w:val="clear" w:color="auto" w:fill="FFFFFF"/>
                <w:lang w:val="en-US"/>
              </w:rPr>
              <w:t xml:space="preserve"> </w:t>
            </w:r>
            <w:r w:rsidRPr="00534916">
              <w:rPr>
                <w:rFonts w:eastAsia="Arial Unicode MS"/>
                <w:color w:val="333333"/>
                <w:sz w:val="20"/>
                <w:szCs w:val="20"/>
                <w:shd w:val="clear" w:color="auto" w:fill="FFFFFF"/>
                <w:lang w:val="en-US"/>
              </w:rPr>
              <w:t>500 W</w:t>
            </w:r>
          </w:p>
          <w:p w14:paraId="3734AB7E" w14:textId="77777777" w:rsidR="00534916" w:rsidRDefault="00534916" w:rsidP="000469A9">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„Puterea de referință” reprezintă o relație între puterea hidraulică a pompei de circulație și puterea consumată de aceasta, ținând seama de dependența dintre randamentul și mărimea pompei de circulație.</w:t>
            </w:r>
          </w:p>
          <w:p w14:paraId="7A55FBB8" w14:textId="77777777" w:rsidR="00534916" w:rsidRDefault="00534916" w:rsidP="000469A9">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„P</w:t>
            </w:r>
            <w:r w:rsidRPr="00534916">
              <w:rPr>
                <w:rStyle w:val="subscript"/>
                <w:rFonts w:eastAsia="Arial Unicode MS"/>
                <w:color w:val="333333"/>
                <w:sz w:val="20"/>
                <w:szCs w:val="20"/>
                <w:vertAlign w:val="subscript"/>
                <w:lang w:val="en-US"/>
              </w:rPr>
              <w:t>ref</w:t>
            </w:r>
            <w:r w:rsidRPr="00534916">
              <w:rPr>
                <w:rFonts w:eastAsia="Arial Unicode MS"/>
                <w:color w:val="333333"/>
                <w:sz w:val="20"/>
                <w:szCs w:val="20"/>
                <w:shd w:val="clear" w:color="auto" w:fill="FFFFFF"/>
                <w:lang w:val="en-US"/>
              </w:rPr>
              <w:t>” este puterea de referință (în wați) a pompei de circulație pentru o anumită înălțime de pompare și un anumit debit.</w:t>
            </w:r>
          </w:p>
          <w:p w14:paraId="5250FF52" w14:textId="77777777" w:rsidR="00534916" w:rsidRDefault="00534916">
            <w:pPr>
              <w:pStyle w:val="ti-art"/>
              <w:numPr>
                <w:ilvl w:val="0"/>
                <w:numId w:val="1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Se definește curba de control de referință ca fiind linia dreaptă care unește punctele:</w:t>
            </w:r>
          </w:p>
          <w:p w14:paraId="7710799D" w14:textId="77D566A1" w:rsidR="00534916" w:rsidRDefault="00534916" w:rsidP="00534916">
            <w:pPr>
              <w:pStyle w:val="ti-art"/>
              <w:shd w:val="clear" w:color="auto" w:fill="FFFFFF"/>
              <w:spacing w:before="0" w:beforeAutospacing="0" w:after="0" w:afterAutospacing="0"/>
              <w:ind w:left="720"/>
              <w:rPr>
                <w:rStyle w:val="apple-converted-space"/>
                <w:rFonts w:eastAsia="Arial Unicode MS"/>
                <w:color w:val="333333"/>
                <w:sz w:val="20"/>
                <w:szCs w:val="20"/>
                <w:shd w:val="clear" w:color="auto" w:fill="FFFFFF"/>
              </w:rPr>
            </w:pPr>
            <w:r w:rsidRPr="00534916">
              <w:rPr>
                <w:rFonts w:eastAsia="Arial Unicode MS"/>
                <w:color w:val="333333"/>
                <w:sz w:val="20"/>
                <w:szCs w:val="20"/>
                <w:shd w:val="clear" w:color="auto" w:fill="FFFFFF"/>
              </w:rPr>
              <w:t>(</w:t>
            </w:r>
            <w:r w:rsidRPr="00534916">
              <w:rPr>
                <w:rStyle w:val="italics"/>
                <w:rFonts w:eastAsia="Arial Unicode MS"/>
                <w:i/>
                <w:iCs/>
                <w:color w:val="333333"/>
                <w:sz w:val="20"/>
                <w:szCs w:val="20"/>
              </w:rPr>
              <w:t>Q</w:t>
            </w:r>
            <w:r w:rsidRPr="00534916">
              <w:rPr>
                <w:rStyle w:val="subscript"/>
                <w:rFonts w:eastAsia="Arial Unicode MS"/>
                <w:color w:val="333333"/>
                <w:sz w:val="20"/>
                <w:szCs w:val="20"/>
                <w:vertAlign w:val="subscript"/>
              </w:rPr>
              <w:t>100%</w:t>
            </w:r>
            <w:r w:rsidRPr="00534916">
              <w:rPr>
                <w:rFonts w:eastAsia="Arial Unicode MS"/>
                <w:color w:val="333333"/>
                <w:sz w:val="20"/>
                <w:szCs w:val="20"/>
                <w:shd w:val="clear" w:color="auto" w:fill="FFFFFF"/>
              </w:rPr>
              <w:t>,</w:t>
            </w:r>
            <w:r w:rsidRPr="00534916">
              <w:rPr>
                <w:rStyle w:val="italics"/>
                <w:rFonts w:eastAsia="Arial Unicode MS"/>
                <w:i/>
                <w:iCs/>
                <w:color w:val="333333"/>
                <w:sz w:val="20"/>
                <w:szCs w:val="20"/>
              </w:rPr>
              <w:t>H</w:t>
            </w:r>
            <w:r w:rsidRPr="00534916">
              <w:rPr>
                <w:rStyle w:val="subscript"/>
                <w:rFonts w:eastAsia="Arial Unicode MS"/>
                <w:color w:val="333333"/>
                <w:sz w:val="20"/>
                <w:szCs w:val="20"/>
                <w:vertAlign w:val="subscript"/>
              </w:rPr>
              <w:t>100%</w:t>
            </w:r>
            <w:r w:rsidRPr="00534916">
              <w:rPr>
                <w:rFonts w:eastAsia="Arial Unicode MS"/>
                <w:color w:val="333333"/>
                <w:sz w:val="20"/>
                <w:szCs w:val="20"/>
                <w:shd w:val="clear" w:color="auto" w:fill="FFFFFF"/>
              </w:rPr>
              <w:t>) și (</w:t>
            </w:r>
            <w:r w:rsidRPr="00534916">
              <w:rPr>
                <w:rStyle w:val="italics"/>
                <w:rFonts w:eastAsia="Arial Unicode MS"/>
                <w:i/>
                <w:iCs/>
                <w:color w:val="333333"/>
                <w:sz w:val="20"/>
                <w:szCs w:val="20"/>
              </w:rPr>
              <w:t>Q</w:t>
            </w:r>
            <w:r w:rsidR="000469A9">
              <w:rPr>
                <w:rStyle w:val="apple-converted-space"/>
                <w:rFonts w:eastAsia="Arial Unicode MS"/>
                <w:shd w:val="clear" w:color="auto" w:fill="FFFFFF"/>
                <w:lang w:val="ro-RO"/>
              </w:rPr>
              <w:t xml:space="preserve"> </w:t>
            </w:r>
            <w:r w:rsidRPr="00534916">
              <w:rPr>
                <w:rStyle w:val="subscript"/>
                <w:rFonts w:eastAsia="Arial Unicode MS"/>
                <w:color w:val="333333"/>
                <w:sz w:val="20"/>
                <w:szCs w:val="20"/>
                <w:vertAlign w:val="subscript"/>
              </w:rPr>
              <w:t>0</w:t>
            </w:r>
            <w:r w:rsidR="000469A9">
              <w:rPr>
                <w:rStyle w:val="subscript"/>
                <w:rFonts w:eastAsia="Arial Unicode MS"/>
                <w:color w:val="333333"/>
                <w:sz w:val="20"/>
                <w:szCs w:val="20"/>
                <w:vertAlign w:val="subscript"/>
                <w:lang w:val="ro-RO"/>
              </w:rPr>
              <w:t xml:space="preserve"> </w:t>
            </w:r>
            <w:r w:rsidRPr="00534916">
              <w:rPr>
                <w:rStyle w:val="subscript"/>
                <w:rFonts w:eastAsia="Arial Unicode MS"/>
                <w:color w:val="333333"/>
                <w:sz w:val="20"/>
                <w:szCs w:val="20"/>
                <w:vertAlign w:val="subscript"/>
              </w:rPr>
              <w:t>%</w:t>
            </w:r>
            <w:r w:rsidRPr="00534916">
              <w:rPr>
                <w:rFonts w:eastAsia="Arial Unicode MS"/>
                <w:color w:val="333333"/>
                <w:sz w:val="20"/>
                <w:szCs w:val="20"/>
                <w:shd w:val="clear" w:color="auto" w:fill="FFFFFF"/>
              </w:rPr>
              <w:t>,</w:t>
            </w:r>
          </w:p>
          <w:p w14:paraId="0B70682B" w14:textId="77777777" w:rsidR="00534916" w:rsidRDefault="00534916" w:rsidP="00534916">
            <w:pPr>
              <w:pStyle w:val="ti-art"/>
              <w:shd w:val="clear" w:color="auto" w:fill="FFFFFF"/>
              <w:spacing w:before="0" w:beforeAutospacing="0" w:after="0" w:afterAutospacing="0"/>
              <w:ind w:left="720"/>
              <w:rPr>
                <w:rFonts w:ascii="Arial Unicode MS" w:eastAsia="Arial Unicode MS" w:hAnsi="Arial Unicode MS" w:cs="Arial Unicode MS"/>
                <w:color w:val="333333"/>
                <w:sz w:val="21"/>
                <w:szCs w:val="21"/>
                <w:shd w:val="clear" w:color="auto" w:fill="FFFFFF"/>
              </w:rPr>
            </w:pPr>
            <w:r>
              <w:lastRenderedPageBreak/>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7C6399DF" wp14:editId="389FA700">
                  <wp:extent cx="974725" cy="758190"/>
                  <wp:effectExtent l="0" t="0" r="3175" b="3810"/>
                  <wp:docPr id="1013379164"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4725" cy="758190"/>
                          </a:xfrm>
                          <a:prstGeom prst="rect">
                            <a:avLst/>
                          </a:prstGeom>
                          <a:noFill/>
                          <a:ln>
                            <a:noFill/>
                          </a:ln>
                        </pic:spPr>
                      </pic:pic>
                    </a:graphicData>
                  </a:graphic>
                </wp:inline>
              </w:drawing>
            </w:r>
            <w:r>
              <w:fldChar w:fldCharType="end"/>
            </w:r>
            <w:r>
              <w:rPr>
                <w:rStyle w:val="apple-converted-space"/>
                <w:rFonts w:ascii="Arial Unicode MS" w:eastAsia="Arial Unicode MS" w:hAnsi="Arial Unicode MS" w:cs="Arial Unicode MS" w:hint="eastAsia"/>
                <w:color w:val="333333"/>
                <w:sz w:val="21"/>
                <w:szCs w:val="21"/>
                <w:shd w:val="clear" w:color="auto" w:fill="FFFFFF"/>
              </w:rPr>
              <w:t> </w:t>
            </w:r>
            <w:r>
              <w:rPr>
                <w:rFonts w:ascii="Arial Unicode MS" w:eastAsia="Arial Unicode MS" w:hAnsi="Arial Unicode MS" w:cs="Arial Unicode MS" w:hint="eastAsia"/>
                <w:color w:val="333333"/>
                <w:sz w:val="21"/>
                <w:szCs w:val="21"/>
                <w:shd w:val="clear" w:color="auto" w:fill="FFFFFF"/>
              </w:rPr>
              <w:t>)</w:t>
            </w:r>
          </w:p>
          <w:p w14:paraId="23557CB7" w14:textId="2E59A537" w:rsidR="00534916" w:rsidRDefault="00534916" w:rsidP="00534916">
            <w:pPr>
              <w:pStyle w:val="21"/>
              <w:spacing w:before="120" w:beforeAutospacing="0" w:after="0" w:afterAutospacing="0" w:line="312" w:lineRule="atLeast"/>
              <w:jc w:val="both"/>
            </w:pPr>
            <w:r>
              <w:br/>
            </w:r>
            <w:r>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25A76EE1" wp14:editId="2A94ED20">
                  <wp:extent cx="3010535" cy="2571750"/>
                  <wp:effectExtent l="0" t="0" r="0" b="6350"/>
                  <wp:docPr id="649565220"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0535" cy="2571750"/>
                          </a:xfrm>
                          <a:prstGeom prst="rect">
                            <a:avLst/>
                          </a:prstGeom>
                          <a:noFill/>
                          <a:ln>
                            <a:noFill/>
                          </a:ln>
                        </pic:spPr>
                      </pic:pic>
                    </a:graphicData>
                  </a:graphic>
                </wp:inline>
              </w:drawing>
            </w:r>
            <w:r>
              <w:fldChar w:fldCharType="end"/>
            </w:r>
          </w:p>
          <w:p w14:paraId="219E3D31" w14:textId="77777777" w:rsidR="00534916" w:rsidRDefault="00534916" w:rsidP="00534916"/>
          <w:p w14:paraId="4F2A25C8" w14:textId="00D92404" w:rsidR="00534916" w:rsidRDefault="00534916">
            <w:pPr>
              <w:pStyle w:val="ti-art"/>
              <w:numPr>
                <w:ilvl w:val="0"/>
                <w:numId w:val="16"/>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Se selectează o setare a pompei de circulație, astfel încât pe curba selectată, pompa de circulație să atingă</w:t>
            </w:r>
            <w:r w:rsidR="000469A9" w:rsidRPr="000469A9">
              <w:rPr>
                <w:rStyle w:val="apple-converted-space"/>
                <w:rFonts w:eastAsia="Arial Unicode MS"/>
                <w:lang w:val="en-US"/>
              </w:rPr>
              <w:t xml:space="preserve"> </w:t>
            </w:r>
            <w:r w:rsidRPr="00534916">
              <w:rPr>
                <w:rStyle w:val="italics"/>
                <w:rFonts w:eastAsia="Arial Unicode MS"/>
                <w:i/>
                <w:iCs/>
                <w:color w:val="333333"/>
                <w:sz w:val="20"/>
                <w:szCs w:val="20"/>
                <w:lang w:val="en-US"/>
              </w:rPr>
              <w:t xml:space="preserve">Q </w:t>
            </w:r>
            <w:r w:rsidRPr="00534916">
              <w:rPr>
                <w:rStyle w:val="italics"/>
                <w:rFonts w:eastAsia="Arial Unicode MS"/>
                <w:i/>
                <w:iCs/>
                <w:color w:val="333333"/>
                <w:sz w:val="20"/>
                <w:szCs w:val="20"/>
              </w:rPr>
              <w:t>·</w:t>
            </w:r>
            <w:r w:rsidRPr="00534916">
              <w:rPr>
                <w:rStyle w:val="italics"/>
                <w:rFonts w:eastAsia="Arial Unicode MS"/>
                <w:i/>
                <w:iCs/>
                <w:color w:val="333333"/>
                <w:sz w:val="20"/>
                <w:szCs w:val="20"/>
                <w:lang w:val="en-US"/>
              </w:rPr>
              <w:t xml:space="preserve"> H = punctul maxim</w:t>
            </w:r>
            <w:r w:rsidRPr="00534916">
              <w:rPr>
                <w:rFonts w:eastAsia="Arial Unicode MS"/>
                <w:color w:val="333333"/>
                <w:sz w:val="20"/>
                <w:szCs w:val="20"/>
                <w:shd w:val="clear" w:color="auto" w:fill="FFFFFF"/>
                <w:lang w:val="en-US"/>
              </w:rPr>
              <w:t>. Pentru pompele de circulație integrate în produse, se urmează curba de control de referință prin ajustarea curbei sistemului și a vitezei pompei de circulație.</w:t>
            </w:r>
          </w:p>
          <w:p w14:paraId="698067C6" w14:textId="77777777" w:rsidR="00534916" w:rsidRDefault="00534916" w:rsidP="000469A9">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„Curba sistemului” reprezintă relația dintre debit și înălțimea de pompare [</w:t>
            </w:r>
            <w:r w:rsidRPr="00534916">
              <w:rPr>
                <w:rStyle w:val="italics"/>
                <w:rFonts w:eastAsia="Arial Unicode MS"/>
                <w:i/>
                <w:iCs/>
                <w:color w:val="333333"/>
                <w:sz w:val="20"/>
                <w:szCs w:val="20"/>
                <w:lang w:val="en-US"/>
              </w:rPr>
              <w:t>H = f(Q)</w:t>
            </w:r>
            <w:r w:rsidRPr="00534916">
              <w:rPr>
                <w:rFonts w:eastAsia="Arial Unicode MS"/>
                <w:color w:val="333333"/>
                <w:sz w:val="20"/>
                <w:szCs w:val="20"/>
                <w:shd w:val="clear" w:color="auto" w:fill="FFFFFF"/>
                <w:lang w:val="en-US"/>
              </w:rPr>
              <w:t>], care depinde de frecarea din sistemul de încălzire sau din sistemul de distribuție a agentului de răcire, prezentată în graficul următor:</w:t>
            </w:r>
          </w:p>
          <w:p w14:paraId="21A3F5A8" w14:textId="77777777" w:rsidR="00534916" w:rsidRDefault="00534916" w:rsidP="00534916">
            <w:pPr>
              <w:pStyle w:val="ti-art"/>
              <w:shd w:val="clear" w:color="auto" w:fill="FFFFFF"/>
              <w:spacing w:before="0" w:beforeAutospacing="0" w:after="0" w:afterAutospacing="0"/>
            </w:pPr>
            <w:r>
              <w:lastRenderedPageBreak/>
              <w:fldChar w:fldCharType="begin"/>
            </w:r>
            <w:r>
              <w:instrText xml:space="preserve"> INCLUDEPICTURE "/Users/zamfirdaria/Library/Group Containers/UBF8T346G9.ms/WebArchiveCopyPasteTempFiles/com.microsoft.Word/Z" \* MERGEFORMATINET </w:instrText>
            </w:r>
            <w:r>
              <w:fldChar w:fldCharType="separate"/>
            </w:r>
            <w:r>
              <w:rPr>
                <w:noProof/>
                <w:lang w:val="en-GB" w:eastAsia="en-GB"/>
              </w:rPr>
              <w:drawing>
                <wp:inline distT="0" distB="0" distL="0" distR="0" wp14:anchorId="5661A28D" wp14:editId="442075DD">
                  <wp:extent cx="3010535" cy="2450465"/>
                  <wp:effectExtent l="0" t="0" r="0" b="635"/>
                  <wp:docPr id="606387934"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10535" cy="2450465"/>
                          </a:xfrm>
                          <a:prstGeom prst="rect">
                            <a:avLst/>
                          </a:prstGeom>
                          <a:noFill/>
                          <a:ln>
                            <a:noFill/>
                          </a:ln>
                        </pic:spPr>
                      </pic:pic>
                    </a:graphicData>
                  </a:graphic>
                </wp:inline>
              </w:drawing>
            </w:r>
            <w:r>
              <w:fldChar w:fldCharType="end"/>
            </w:r>
          </w:p>
          <w:p w14:paraId="7B103D1F" w14:textId="377E112A" w:rsidR="00534916" w:rsidRDefault="00534916">
            <w:pPr>
              <w:pStyle w:val="ti-art"/>
              <w:numPr>
                <w:ilvl w:val="0"/>
                <w:numId w:val="18"/>
              </w:numPr>
              <w:shd w:val="clear" w:color="auto" w:fill="FFFFFF"/>
              <w:spacing w:before="0" w:beforeAutospacing="0" w:after="0" w:afterAutospacing="0"/>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Se măsoară</w:t>
            </w:r>
            <w:r w:rsidR="000469A9">
              <w:rPr>
                <w:rStyle w:val="apple-converted-space"/>
                <w:rFonts w:eastAsia="Arial Unicode MS"/>
                <w:color w:val="333333"/>
                <w:sz w:val="20"/>
                <w:szCs w:val="20"/>
                <w:shd w:val="clear" w:color="auto" w:fill="FFFFFF"/>
                <w:lang w:val="en-US"/>
              </w:rPr>
              <w:t xml:space="preserve"> </w:t>
            </w:r>
            <w:r w:rsidRPr="00534916">
              <w:rPr>
                <w:rStyle w:val="italics"/>
                <w:rFonts w:eastAsia="Arial Unicode MS"/>
                <w:i/>
                <w:iCs/>
                <w:color w:val="333333"/>
                <w:sz w:val="20"/>
                <w:szCs w:val="20"/>
                <w:lang w:val="en-US"/>
              </w:rPr>
              <w:t>P</w:t>
            </w:r>
            <w:r w:rsidRPr="00534916">
              <w:rPr>
                <w:rStyle w:val="subscript"/>
                <w:rFonts w:eastAsia="Arial Unicode MS"/>
                <w:i/>
                <w:iCs/>
                <w:color w:val="333333"/>
                <w:sz w:val="20"/>
                <w:szCs w:val="20"/>
                <w:vertAlign w:val="subscript"/>
                <w:lang w:val="en-US"/>
              </w:rPr>
              <w:t>1</w:t>
            </w:r>
            <w:r w:rsidR="000469A9">
              <w:rPr>
                <w:rStyle w:val="apple-converted-space"/>
                <w:rFonts w:eastAsia="Arial Unicode MS"/>
                <w:i/>
                <w:iCs/>
                <w:color w:val="333333"/>
                <w:sz w:val="20"/>
                <w:szCs w:val="20"/>
                <w:lang w:val="en-US"/>
              </w:rPr>
              <w:t xml:space="preserve"> </w:t>
            </w:r>
            <w:r w:rsidRPr="00534916">
              <w:rPr>
                <w:rFonts w:eastAsia="Arial Unicode MS"/>
                <w:color w:val="333333"/>
                <w:sz w:val="20"/>
                <w:szCs w:val="20"/>
                <w:shd w:val="clear" w:color="auto" w:fill="FFFFFF"/>
                <w:lang w:val="en-US"/>
              </w:rPr>
              <w:t>și</w:t>
            </w:r>
            <w:r w:rsidR="000469A9">
              <w:rPr>
                <w:rStyle w:val="apple-converted-space"/>
                <w:rFonts w:eastAsia="Arial Unicode MS"/>
                <w:color w:val="333333"/>
                <w:sz w:val="20"/>
                <w:szCs w:val="20"/>
                <w:shd w:val="clear" w:color="auto" w:fill="FFFFFF"/>
                <w:lang w:val="en-US"/>
              </w:rPr>
              <w:t xml:space="preserve"> </w:t>
            </w:r>
            <w:r w:rsidRPr="00534916">
              <w:rPr>
                <w:rStyle w:val="italics"/>
                <w:rFonts w:eastAsia="Arial Unicode MS"/>
                <w:i/>
                <w:iCs/>
                <w:color w:val="333333"/>
                <w:sz w:val="20"/>
                <w:szCs w:val="20"/>
                <w:lang w:val="en-US"/>
              </w:rPr>
              <w:t>H</w:t>
            </w:r>
            <w:r w:rsidR="000469A9">
              <w:rPr>
                <w:rStyle w:val="apple-converted-space"/>
                <w:rFonts w:eastAsia="Arial Unicode MS"/>
                <w:color w:val="333333"/>
                <w:sz w:val="20"/>
                <w:szCs w:val="20"/>
                <w:shd w:val="clear" w:color="auto" w:fill="FFFFFF"/>
                <w:lang w:val="en-US"/>
              </w:rPr>
              <w:t xml:space="preserve"> </w:t>
            </w:r>
            <w:r w:rsidRPr="00534916">
              <w:rPr>
                <w:rFonts w:eastAsia="Arial Unicode MS"/>
                <w:color w:val="333333"/>
                <w:sz w:val="20"/>
                <w:szCs w:val="20"/>
                <w:shd w:val="clear" w:color="auto" w:fill="FFFFFF"/>
                <w:lang w:val="en-US"/>
              </w:rPr>
              <w:t>la următoarele debite:</w:t>
            </w:r>
          </w:p>
          <w:p w14:paraId="70231B29" w14:textId="08299660" w:rsidR="00534916" w:rsidRPr="000469A9" w:rsidRDefault="00534916" w:rsidP="00534916">
            <w:pPr>
              <w:pStyle w:val="ti-art"/>
              <w:shd w:val="clear" w:color="auto" w:fill="FFFFFF"/>
              <w:spacing w:before="0" w:beforeAutospacing="0" w:after="0" w:afterAutospacing="0"/>
              <w:ind w:left="720"/>
              <w:rPr>
                <w:rStyle w:val="subscript"/>
                <w:rFonts w:eastAsia="Arial Unicode MS"/>
                <w:color w:val="333333"/>
                <w:sz w:val="20"/>
                <w:szCs w:val="20"/>
                <w:vertAlign w:val="subscript"/>
                <w:lang w:val="en-US"/>
              </w:rPr>
            </w:pPr>
            <w:r w:rsidRPr="000469A9">
              <w:rPr>
                <w:rStyle w:val="italics"/>
                <w:rFonts w:eastAsia="Arial Unicode MS"/>
                <w:i/>
                <w:iCs/>
                <w:color w:val="333333"/>
                <w:sz w:val="20"/>
                <w:szCs w:val="20"/>
                <w:lang w:val="en-US"/>
              </w:rPr>
              <w:t>Q</w:t>
            </w:r>
            <w:r w:rsidRPr="000469A9">
              <w:rPr>
                <w:rStyle w:val="subscript"/>
                <w:rFonts w:eastAsia="Arial Unicode MS"/>
                <w:color w:val="333333"/>
                <w:sz w:val="20"/>
                <w:szCs w:val="20"/>
                <w:vertAlign w:val="subscript"/>
                <w:lang w:val="en-US"/>
              </w:rPr>
              <w:t>100%</w:t>
            </w:r>
            <w:r w:rsidRPr="000469A9">
              <w:rPr>
                <w:rFonts w:eastAsia="Arial Unicode MS"/>
                <w:color w:val="333333"/>
                <w:sz w:val="20"/>
                <w:szCs w:val="20"/>
                <w:shd w:val="clear" w:color="auto" w:fill="FFFFFF"/>
                <w:lang w:val="en-US"/>
              </w:rPr>
              <w:t>, 0,75</w:t>
            </w:r>
            <w:r w:rsidRPr="00534916">
              <w:rPr>
                <w:rFonts w:eastAsia="Arial Unicode MS"/>
                <w:color w:val="333333"/>
                <w:sz w:val="20"/>
                <w:szCs w:val="20"/>
                <w:shd w:val="clear" w:color="auto" w:fill="FFFFFF"/>
              </w:rPr>
              <w:t>·</w:t>
            </w:r>
            <w:r w:rsidRPr="000469A9">
              <w:rPr>
                <w:rStyle w:val="italics"/>
                <w:rFonts w:eastAsia="Arial Unicode MS"/>
                <w:i/>
                <w:iCs/>
                <w:color w:val="333333"/>
                <w:sz w:val="20"/>
                <w:szCs w:val="20"/>
                <w:lang w:val="en-US"/>
              </w:rPr>
              <w:t>Q</w:t>
            </w:r>
            <w:r w:rsidRPr="000469A9">
              <w:rPr>
                <w:rStyle w:val="subscript"/>
                <w:rFonts w:eastAsia="Arial Unicode MS"/>
                <w:color w:val="333333"/>
                <w:sz w:val="20"/>
                <w:szCs w:val="20"/>
                <w:vertAlign w:val="subscript"/>
                <w:lang w:val="en-US"/>
              </w:rPr>
              <w:t>100</w:t>
            </w:r>
            <w:r w:rsidR="000469A9">
              <w:rPr>
                <w:rStyle w:val="subscript"/>
                <w:rFonts w:eastAsia="Arial Unicode MS"/>
                <w:color w:val="333333"/>
                <w:sz w:val="20"/>
                <w:szCs w:val="20"/>
                <w:vertAlign w:val="subscript"/>
                <w:lang w:val="en-US"/>
              </w:rPr>
              <w:t xml:space="preserve"> </w:t>
            </w:r>
            <w:r w:rsidRPr="000469A9">
              <w:rPr>
                <w:rStyle w:val="subscript"/>
                <w:rFonts w:eastAsia="Arial Unicode MS"/>
                <w:color w:val="333333"/>
                <w:sz w:val="20"/>
                <w:szCs w:val="20"/>
                <w:vertAlign w:val="subscript"/>
                <w:lang w:val="en-US"/>
              </w:rPr>
              <w:t>%</w:t>
            </w:r>
            <w:r w:rsidRPr="000469A9">
              <w:rPr>
                <w:rFonts w:eastAsia="Arial Unicode MS"/>
                <w:color w:val="333333"/>
                <w:sz w:val="20"/>
                <w:szCs w:val="20"/>
                <w:shd w:val="clear" w:color="auto" w:fill="FFFFFF"/>
                <w:lang w:val="en-US"/>
              </w:rPr>
              <w:t>, 0,5</w:t>
            </w:r>
            <w:r w:rsidR="000469A9">
              <w:rPr>
                <w:rFonts w:eastAsia="Arial Unicode MS"/>
                <w:color w:val="333333"/>
                <w:sz w:val="20"/>
                <w:szCs w:val="20"/>
                <w:shd w:val="clear" w:color="auto" w:fill="FFFFFF"/>
                <w:lang w:val="ro-RO"/>
              </w:rPr>
              <w:t xml:space="preserve"> </w:t>
            </w:r>
            <w:r w:rsidRPr="00534916">
              <w:rPr>
                <w:rFonts w:eastAsia="Arial Unicode MS"/>
                <w:color w:val="333333"/>
                <w:sz w:val="20"/>
                <w:szCs w:val="20"/>
                <w:shd w:val="clear" w:color="auto" w:fill="FFFFFF"/>
              </w:rPr>
              <w:t>·</w:t>
            </w:r>
            <w:r w:rsidRPr="000469A9">
              <w:rPr>
                <w:rStyle w:val="italics"/>
                <w:rFonts w:eastAsia="Arial Unicode MS"/>
                <w:i/>
                <w:iCs/>
                <w:color w:val="333333"/>
                <w:sz w:val="20"/>
                <w:szCs w:val="20"/>
                <w:lang w:val="en-US"/>
              </w:rPr>
              <w:t>Q</w:t>
            </w:r>
            <w:r w:rsidR="000469A9">
              <w:rPr>
                <w:rStyle w:val="apple-converted-space"/>
                <w:rFonts w:eastAsia="Arial Unicode MS"/>
                <w:color w:val="333333"/>
                <w:sz w:val="20"/>
                <w:szCs w:val="20"/>
                <w:shd w:val="clear" w:color="auto" w:fill="FFFFFF"/>
                <w:lang w:val="ro-RO"/>
              </w:rPr>
              <w:t xml:space="preserve"> </w:t>
            </w:r>
            <w:r w:rsidRPr="000469A9">
              <w:rPr>
                <w:rStyle w:val="subscript"/>
                <w:rFonts w:eastAsia="Arial Unicode MS"/>
                <w:color w:val="333333"/>
                <w:sz w:val="20"/>
                <w:szCs w:val="20"/>
                <w:vertAlign w:val="subscript"/>
                <w:lang w:val="en-US"/>
              </w:rPr>
              <w:t>100</w:t>
            </w:r>
            <w:r w:rsidR="000469A9">
              <w:rPr>
                <w:rStyle w:val="subscript"/>
                <w:rFonts w:eastAsia="Arial Unicode MS"/>
                <w:color w:val="333333"/>
                <w:sz w:val="20"/>
                <w:szCs w:val="20"/>
                <w:vertAlign w:val="subscript"/>
                <w:lang w:val="en-US"/>
              </w:rPr>
              <w:t xml:space="preserve"> </w:t>
            </w:r>
            <w:r w:rsidRPr="000469A9">
              <w:rPr>
                <w:rStyle w:val="subscript"/>
                <w:rFonts w:eastAsia="Arial Unicode MS"/>
                <w:color w:val="333333"/>
                <w:sz w:val="20"/>
                <w:szCs w:val="20"/>
                <w:vertAlign w:val="subscript"/>
                <w:lang w:val="en-US"/>
              </w:rPr>
              <w:t>%</w:t>
            </w:r>
            <w:r w:rsidRPr="000469A9">
              <w:rPr>
                <w:rFonts w:eastAsia="Arial Unicode MS"/>
                <w:color w:val="333333"/>
                <w:sz w:val="20"/>
                <w:szCs w:val="20"/>
                <w:shd w:val="clear" w:color="auto" w:fill="FFFFFF"/>
                <w:lang w:val="en-US"/>
              </w:rPr>
              <w:t>, 0,25</w:t>
            </w:r>
            <w:r w:rsidRPr="00534916">
              <w:rPr>
                <w:rFonts w:eastAsia="Arial Unicode MS"/>
                <w:color w:val="333333"/>
                <w:sz w:val="20"/>
                <w:szCs w:val="20"/>
                <w:shd w:val="clear" w:color="auto" w:fill="FFFFFF"/>
              </w:rPr>
              <w:t>·</w:t>
            </w:r>
            <w:r w:rsidRPr="000469A9">
              <w:rPr>
                <w:rStyle w:val="italics"/>
                <w:rFonts w:eastAsia="Arial Unicode MS"/>
                <w:i/>
                <w:iCs/>
                <w:color w:val="333333"/>
                <w:sz w:val="20"/>
                <w:szCs w:val="20"/>
                <w:lang w:val="en-US"/>
              </w:rPr>
              <w:t>Q</w:t>
            </w:r>
            <w:r w:rsidR="000469A9">
              <w:rPr>
                <w:rStyle w:val="apple-converted-space"/>
                <w:rFonts w:eastAsia="Arial Unicode MS"/>
                <w:color w:val="333333"/>
                <w:sz w:val="20"/>
                <w:szCs w:val="20"/>
                <w:shd w:val="clear" w:color="auto" w:fill="FFFFFF"/>
                <w:lang w:val="ro-RO"/>
              </w:rPr>
              <w:t xml:space="preserve"> </w:t>
            </w:r>
            <w:r w:rsidRPr="000469A9">
              <w:rPr>
                <w:rStyle w:val="subscript"/>
                <w:rFonts w:eastAsia="Arial Unicode MS"/>
                <w:color w:val="333333"/>
                <w:sz w:val="20"/>
                <w:szCs w:val="20"/>
                <w:vertAlign w:val="subscript"/>
                <w:lang w:val="en-US"/>
              </w:rPr>
              <w:t>100</w:t>
            </w:r>
            <w:r w:rsidR="000469A9">
              <w:rPr>
                <w:rStyle w:val="subscript"/>
                <w:rFonts w:eastAsia="Arial Unicode MS"/>
                <w:color w:val="333333"/>
                <w:sz w:val="20"/>
                <w:szCs w:val="20"/>
                <w:vertAlign w:val="subscript"/>
                <w:lang w:val="en-US"/>
              </w:rPr>
              <w:t xml:space="preserve"> </w:t>
            </w:r>
            <w:r w:rsidRPr="000469A9">
              <w:rPr>
                <w:rStyle w:val="subscript"/>
                <w:rFonts w:eastAsia="Arial Unicode MS"/>
                <w:color w:val="333333"/>
                <w:sz w:val="20"/>
                <w:szCs w:val="20"/>
                <w:vertAlign w:val="subscript"/>
                <w:lang w:val="en-US"/>
              </w:rPr>
              <w:t>%</w:t>
            </w:r>
          </w:p>
          <w:p w14:paraId="593845C9" w14:textId="77E4166A" w:rsidR="00534916" w:rsidRDefault="00534916" w:rsidP="00534916">
            <w:pPr>
              <w:pStyle w:val="ti-art"/>
              <w:shd w:val="clear" w:color="auto" w:fill="FFFFFF"/>
              <w:spacing w:before="0" w:beforeAutospacing="0" w:after="0" w:afterAutospacing="0"/>
              <w:ind w:left="720"/>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w:t>
            </w:r>
            <w:r w:rsidRPr="00534916">
              <w:rPr>
                <w:rStyle w:val="italics"/>
                <w:rFonts w:eastAsia="Arial Unicode MS"/>
                <w:i/>
                <w:iCs/>
                <w:color w:val="333333"/>
                <w:sz w:val="20"/>
                <w:szCs w:val="20"/>
                <w:lang w:val="en-US"/>
              </w:rPr>
              <w:t>P</w:t>
            </w:r>
            <w:r w:rsidRPr="00534916">
              <w:rPr>
                <w:rStyle w:val="subscript"/>
                <w:rFonts w:eastAsia="Arial Unicode MS"/>
                <w:i/>
                <w:iCs/>
                <w:color w:val="333333"/>
                <w:sz w:val="20"/>
                <w:szCs w:val="20"/>
                <w:vertAlign w:val="subscript"/>
                <w:lang w:val="en-US"/>
              </w:rPr>
              <w:t>1</w:t>
            </w:r>
            <w:r w:rsidR="000469A9">
              <w:rPr>
                <w:rStyle w:val="apple-converted-space"/>
                <w:rFonts w:eastAsia="Arial Unicode MS"/>
                <w:i/>
                <w:iCs/>
                <w:color w:val="333333"/>
                <w:sz w:val="20"/>
                <w:szCs w:val="20"/>
                <w:lang w:val="en-US"/>
              </w:rPr>
              <w:t xml:space="preserve"> </w:t>
            </w:r>
            <w:r w:rsidRPr="00534916">
              <w:rPr>
                <w:rFonts w:eastAsia="Arial Unicode MS"/>
                <w:color w:val="333333"/>
                <w:sz w:val="20"/>
                <w:szCs w:val="20"/>
                <w:shd w:val="clear" w:color="auto" w:fill="FFFFFF"/>
                <w:lang w:val="en-US"/>
              </w:rPr>
              <w:t>” este puterea electrică (în wați) consumată de pompa de circulație în punctul de funcționare specificat.</w:t>
            </w:r>
          </w:p>
          <w:p w14:paraId="053E790C" w14:textId="1DF426E5" w:rsidR="00534916" w:rsidRDefault="00534916">
            <w:pPr>
              <w:pStyle w:val="ti-art"/>
              <w:numPr>
                <w:ilvl w:val="0"/>
                <w:numId w:val="18"/>
              </w:numPr>
              <w:shd w:val="clear" w:color="auto" w:fill="FFFFFF"/>
              <w:spacing w:before="0" w:beforeAutospacing="0" w:after="0" w:afterAutospacing="0"/>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Se calculează</w:t>
            </w:r>
            <w:r w:rsidR="000469A9" w:rsidRPr="000469A9">
              <w:rPr>
                <w:rStyle w:val="apple-converted-space"/>
                <w:rFonts w:eastAsia="Arial Unicode MS"/>
                <w:lang w:val="en-US"/>
              </w:rPr>
              <w:t xml:space="preserve"> </w:t>
            </w:r>
            <w:r w:rsidRPr="00534916">
              <w:rPr>
                <w:rStyle w:val="italics"/>
                <w:rFonts w:eastAsia="Arial Unicode MS"/>
                <w:i/>
                <w:iCs/>
                <w:color w:val="333333"/>
                <w:sz w:val="20"/>
                <w:szCs w:val="20"/>
                <w:lang w:val="en-US"/>
              </w:rPr>
              <w:t>P</w:t>
            </w:r>
            <w:r w:rsidRPr="00534916">
              <w:rPr>
                <w:rStyle w:val="subscript"/>
                <w:rFonts w:eastAsia="Arial Unicode MS"/>
                <w:i/>
                <w:iCs/>
                <w:color w:val="333333"/>
                <w:sz w:val="20"/>
                <w:szCs w:val="20"/>
                <w:vertAlign w:val="subscript"/>
                <w:lang w:val="en-US"/>
              </w:rPr>
              <w:t>L</w:t>
            </w:r>
            <w:r w:rsidR="000469A9" w:rsidRPr="000469A9">
              <w:rPr>
                <w:rStyle w:val="apple-converted-space"/>
                <w:rFonts w:eastAsia="Arial Unicode MS"/>
                <w:lang w:val="en-US"/>
              </w:rPr>
              <w:t xml:space="preserve"> </w:t>
            </w:r>
            <w:r w:rsidRPr="00534916">
              <w:rPr>
                <w:rFonts w:eastAsia="Arial Unicode MS"/>
                <w:color w:val="333333"/>
                <w:sz w:val="20"/>
                <w:szCs w:val="20"/>
                <w:shd w:val="clear" w:color="auto" w:fill="FFFFFF"/>
                <w:lang w:val="en-US"/>
              </w:rPr>
              <w:t>după cum urmează:</w:t>
            </w:r>
          </w:p>
          <w:p w14:paraId="71074F34" w14:textId="5D057CD6" w:rsidR="00534916" w:rsidRPr="000469A9" w:rsidRDefault="00534916" w:rsidP="00534916">
            <w:pPr>
              <w:pStyle w:val="ti-art"/>
              <w:shd w:val="clear" w:color="auto" w:fill="FFFFFF"/>
              <w:spacing w:before="0" w:beforeAutospacing="0" w:after="0" w:afterAutospacing="0"/>
              <w:rPr>
                <w:rStyle w:val="subscript"/>
                <w:rFonts w:eastAsia="Arial Unicode MS"/>
                <w:i/>
                <w:iCs/>
                <w:color w:val="333333"/>
                <w:sz w:val="20"/>
                <w:szCs w:val="20"/>
                <w:vertAlign w:val="subscript"/>
                <w:lang w:val="en-US"/>
              </w:rPr>
            </w:pPr>
            <w:r>
              <w:fldChar w:fldCharType="begin"/>
            </w:r>
            <w:r w:rsidRPr="000469A9">
              <w:rPr>
                <w:lang w:val="en-US"/>
              </w:rPr>
              <w:instrText xml:space="preserve"> INCLUDEPICTURE "/Users/zamfirdaria/Library/Group Containers/UBF8T346G9.ms/WebArchiveCopyPasteTempFiles/com.microsoft.Word/2Q==" \* MERGEFORMATINET </w:instrText>
            </w:r>
            <w:r>
              <w:fldChar w:fldCharType="separate"/>
            </w:r>
            <w:r>
              <w:rPr>
                <w:noProof/>
                <w:lang w:val="en-GB" w:eastAsia="en-GB"/>
              </w:rPr>
              <w:drawing>
                <wp:inline distT="0" distB="0" distL="0" distR="0" wp14:anchorId="0A270D01" wp14:editId="4FBA343E">
                  <wp:extent cx="3010535" cy="720090"/>
                  <wp:effectExtent l="0" t="0" r="0" b="3810"/>
                  <wp:docPr id="1176262767"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10535" cy="720090"/>
                          </a:xfrm>
                          <a:prstGeom prst="rect">
                            <a:avLst/>
                          </a:prstGeom>
                          <a:noFill/>
                          <a:ln>
                            <a:noFill/>
                          </a:ln>
                        </pic:spPr>
                      </pic:pic>
                    </a:graphicData>
                  </a:graphic>
                </wp:inline>
              </w:drawing>
            </w:r>
            <w:r>
              <w:fldChar w:fldCharType="end"/>
            </w:r>
            <w:r w:rsidRPr="000469A9">
              <w:rPr>
                <w:rStyle w:val="italics"/>
                <w:rFonts w:eastAsia="Arial Unicode MS"/>
                <w:i/>
                <w:iCs/>
                <w:color w:val="333333"/>
                <w:sz w:val="20"/>
                <w:szCs w:val="20"/>
                <w:lang w:val="en-US"/>
              </w:rPr>
              <w:t>, dacă H</w:t>
            </w:r>
            <w:r w:rsidRPr="000469A9">
              <w:rPr>
                <w:rStyle w:val="subscript"/>
                <w:rFonts w:eastAsia="Arial Unicode MS"/>
                <w:i/>
                <w:iCs/>
                <w:color w:val="333333"/>
                <w:sz w:val="20"/>
                <w:szCs w:val="20"/>
                <w:vertAlign w:val="subscript"/>
                <w:lang w:val="en-US"/>
              </w:rPr>
              <w:t>măsurat</w:t>
            </w:r>
            <w:r w:rsidR="000469A9">
              <w:rPr>
                <w:rStyle w:val="apple-converted-space"/>
                <w:rFonts w:eastAsia="Arial Unicode MS"/>
                <w:i/>
                <w:iCs/>
                <w:color w:val="333333"/>
                <w:sz w:val="20"/>
                <w:szCs w:val="20"/>
                <w:lang w:val="en-US"/>
              </w:rPr>
              <w:t xml:space="preserve"> </w:t>
            </w:r>
            <w:r w:rsidRPr="000469A9">
              <w:rPr>
                <w:rStyle w:val="italics"/>
                <w:rFonts w:eastAsia="Arial Unicode MS"/>
                <w:i/>
                <w:iCs/>
                <w:color w:val="333333"/>
                <w:sz w:val="20"/>
                <w:szCs w:val="20"/>
                <w:lang w:val="en-US"/>
              </w:rPr>
              <w:t>≤ H</w:t>
            </w:r>
            <w:r w:rsidRPr="000469A9">
              <w:rPr>
                <w:rStyle w:val="subscript"/>
                <w:rFonts w:eastAsia="Arial Unicode MS"/>
                <w:i/>
                <w:iCs/>
                <w:color w:val="333333"/>
                <w:sz w:val="20"/>
                <w:szCs w:val="20"/>
                <w:vertAlign w:val="subscript"/>
                <w:lang w:val="en-US"/>
              </w:rPr>
              <w:t>ref</w:t>
            </w:r>
          </w:p>
          <w:p w14:paraId="57BF14D7" w14:textId="45B88C90" w:rsidR="00534916" w:rsidRDefault="00534916" w:rsidP="00534916">
            <w:pPr>
              <w:pStyle w:val="ti-art"/>
              <w:shd w:val="clear" w:color="auto" w:fill="FFFFFF"/>
              <w:spacing w:before="0" w:beforeAutospacing="0" w:after="0" w:afterAutospacing="0"/>
              <w:rPr>
                <w:rStyle w:val="subscript"/>
                <w:rFonts w:eastAsia="Arial Unicode MS"/>
                <w:i/>
                <w:iCs/>
                <w:color w:val="333333"/>
                <w:sz w:val="20"/>
                <w:szCs w:val="20"/>
                <w:vertAlign w:val="subscript"/>
                <w:lang w:val="en-US"/>
              </w:rPr>
            </w:pPr>
            <w:r w:rsidRPr="00534916">
              <w:rPr>
                <w:rFonts w:eastAsia="Arial Unicode MS"/>
                <w:i/>
                <w:iCs/>
                <w:color w:val="333333"/>
                <w:sz w:val="20"/>
                <w:szCs w:val="20"/>
                <w:shd w:val="clear" w:color="auto" w:fill="FFFFFF"/>
                <w:lang w:val="en-US"/>
              </w:rPr>
              <w:t>P</w:t>
            </w:r>
            <w:r w:rsidRPr="00534916">
              <w:rPr>
                <w:rStyle w:val="subscript"/>
                <w:rFonts w:eastAsia="Arial Unicode MS"/>
                <w:i/>
                <w:iCs/>
                <w:color w:val="333333"/>
                <w:sz w:val="20"/>
                <w:szCs w:val="20"/>
                <w:vertAlign w:val="subscript"/>
                <w:lang w:val="en-US"/>
              </w:rPr>
              <w:t>L</w:t>
            </w:r>
            <w:r w:rsidR="000469A9">
              <w:rPr>
                <w:rStyle w:val="apple-converted-space"/>
                <w:rFonts w:eastAsia="Arial Unicode MS"/>
                <w:i/>
                <w:iCs/>
                <w:color w:val="333333"/>
                <w:sz w:val="20"/>
                <w:szCs w:val="20"/>
                <w:shd w:val="clear" w:color="auto" w:fill="FFFFFF"/>
                <w:lang w:val="en-US"/>
              </w:rPr>
              <w:t xml:space="preserve"> </w:t>
            </w:r>
            <w:r w:rsidRPr="00534916">
              <w:rPr>
                <w:rFonts w:eastAsia="Arial Unicode MS"/>
                <w:i/>
                <w:iCs/>
                <w:color w:val="333333"/>
                <w:sz w:val="20"/>
                <w:szCs w:val="20"/>
                <w:shd w:val="clear" w:color="auto" w:fill="FFFFFF"/>
                <w:lang w:val="en-US"/>
              </w:rPr>
              <w:t>= P</w:t>
            </w:r>
            <w:r w:rsidRPr="00534916">
              <w:rPr>
                <w:rStyle w:val="subscript"/>
                <w:rFonts w:eastAsia="Arial Unicode MS"/>
                <w:i/>
                <w:iCs/>
                <w:color w:val="333333"/>
                <w:sz w:val="20"/>
                <w:szCs w:val="20"/>
                <w:vertAlign w:val="subscript"/>
                <w:lang w:val="en-US"/>
              </w:rPr>
              <w:t>1,măsurat</w:t>
            </w:r>
            <w:r w:rsidRPr="00534916">
              <w:rPr>
                <w:rFonts w:eastAsia="Arial Unicode MS"/>
                <w:i/>
                <w:iCs/>
                <w:color w:val="333333"/>
                <w:sz w:val="20"/>
                <w:szCs w:val="20"/>
                <w:shd w:val="clear" w:color="auto" w:fill="FFFFFF"/>
                <w:lang w:val="en-US"/>
              </w:rPr>
              <w:t>, dacă H</w:t>
            </w:r>
            <w:r w:rsidRPr="00534916">
              <w:rPr>
                <w:rStyle w:val="subscript"/>
                <w:rFonts w:eastAsia="Arial Unicode MS"/>
                <w:i/>
                <w:iCs/>
                <w:color w:val="333333"/>
                <w:sz w:val="20"/>
                <w:szCs w:val="20"/>
                <w:vertAlign w:val="subscript"/>
                <w:lang w:val="en-US"/>
              </w:rPr>
              <w:t>măsurat</w:t>
            </w:r>
            <w:r w:rsidR="000469A9" w:rsidRPr="000469A9">
              <w:rPr>
                <w:rStyle w:val="apple-converted-space"/>
                <w:rFonts w:eastAsia="Arial Unicode MS"/>
                <w:shd w:val="clear" w:color="auto" w:fill="FFFFFF"/>
                <w:lang w:val="en-US"/>
              </w:rPr>
              <w:t xml:space="preserve"> </w:t>
            </w:r>
            <w:r w:rsidRPr="00534916">
              <w:rPr>
                <w:rFonts w:eastAsia="Arial Unicode MS"/>
                <w:i/>
                <w:iCs/>
                <w:color w:val="333333"/>
                <w:sz w:val="20"/>
                <w:szCs w:val="20"/>
                <w:shd w:val="clear" w:color="auto" w:fill="FFFFFF"/>
                <w:lang w:val="en-US"/>
              </w:rPr>
              <w:t>&gt; H</w:t>
            </w:r>
            <w:r w:rsidRPr="00534916">
              <w:rPr>
                <w:rStyle w:val="subscript"/>
                <w:rFonts w:eastAsia="Arial Unicode MS"/>
                <w:i/>
                <w:iCs/>
                <w:color w:val="333333"/>
                <w:sz w:val="20"/>
                <w:szCs w:val="20"/>
                <w:vertAlign w:val="subscript"/>
                <w:lang w:val="en-US"/>
              </w:rPr>
              <w:t>ref</w:t>
            </w:r>
          </w:p>
          <w:p w14:paraId="23B0E1D6" w14:textId="65CBEB57" w:rsidR="00534916" w:rsidRDefault="000469A9" w:rsidP="00534916">
            <w:pPr>
              <w:pStyle w:val="ti-art"/>
              <w:shd w:val="clear" w:color="auto" w:fill="FFFFFF"/>
              <w:spacing w:before="0" w:beforeAutospacing="0" w:after="0" w:afterAutospacing="0"/>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u</w:t>
            </w:r>
            <w:r w:rsidR="00534916" w:rsidRPr="00534916">
              <w:rPr>
                <w:rFonts w:eastAsia="Arial Unicode MS"/>
                <w:color w:val="333333"/>
                <w:sz w:val="20"/>
                <w:szCs w:val="20"/>
                <w:shd w:val="clear" w:color="auto" w:fill="FFFFFF"/>
                <w:lang w:val="en-US"/>
              </w:rPr>
              <w:t>nde</w:t>
            </w:r>
            <w:r>
              <w:rPr>
                <w:rStyle w:val="apple-converted-space"/>
                <w:rFonts w:eastAsia="Arial Unicode MS"/>
                <w:color w:val="333333"/>
                <w:sz w:val="20"/>
                <w:szCs w:val="20"/>
                <w:shd w:val="clear" w:color="auto" w:fill="FFFFFF"/>
                <w:lang w:val="en-US"/>
              </w:rPr>
              <w:t xml:space="preserve"> </w:t>
            </w:r>
            <w:r w:rsidR="00534916" w:rsidRPr="00534916">
              <w:rPr>
                <w:rStyle w:val="italics"/>
                <w:rFonts w:eastAsia="Arial Unicode MS"/>
                <w:i/>
                <w:iCs/>
                <w:color w:val="333333"/>
                <w:sz w:val="20"/>
                <w:szCs w:val="20"/>
                <w:lang w:val="en-US"/>
              </w:rPr>
              <w:t>H</w:t>
            </w:r>
            <w:r w:rsidR="00534916" w:rsidRPr="00534916">
              <w:rPr>
                <w:rStyle w:val="subscript"/>
                <w:rFonts w:eastAsia="Arial Unicode MS"/>
                <w:i/>
                <w:iCs/>
                <w:color w:val="333333"/>
                <w:sz w:val="20"/>
                <w:szCs w:val="20"/>
                <w:vertAlign w:val="subscript"/>
                <w:lang w:val="en-US"/>
              </w:rPr>
              <w:t>ref</w:t>
            </w:r>
            <w:r>
              <w:rPr>
                <w:rStyle w:val="apple-converted-space"/>
                <w:rFonts w:eastAsia="Arial Unicode MS"/>
                <w:i/>
                <w:iCs/>
                <w:color w:val="333333"/>
                <w:sz w:val="20"/>
                <w:szCs w:val="20"/>
                <w:lang w:val="en-US"/>
              </w:rPr>
              <w:t xml:space="preserve"> </w:t>
            </w:r>
            <w:r w:rsidR="00534916" w:rsidRPr="00534916">
              <w:rPr>
                <w:rFonts w:eastAsia="Arial Unicode MS"/>
                <w:color w:val="333333"/>
                <w:sz w:val="20"/>
                <w:szCs w:val="20"/>
                <w:shd w:val="clear" w:color="auto" w:fill="FFFFFF"/>
                <w:lang w:val="en-US"/>
              </w:rPr>
              <w:t>este înălțimea de pompare de pe curba de control de referință la diferite debite.</w:t>
            </w:r>
          </w:p>
          <w:p w14:paraId="691A1C34" w14:textId="03118647" w:rsidR="007316D9" w:rsidRPr="007316D9" w:rsidRDefault="00534916">
            <w:pPr>
              <w:pStyle w:val="ti-art"/>
              <w:numPr>
                <w:ilvl w:val="0"/>
                <w:numId w:val="20"/>
              </w:numPr>
              <w:shd w:val="clear" w:color="auto" w:fill="FFFFFF"/>
              <w:spacing w:before="0" w:beforeAutospacing="0" w:after="0" w:afterAutospacing="0"/>
              <w:rPr>
                <w:rFonts w:eastAsia="Arial Unicode MS"/>
                <w:color w:val="333333"/>
                <w:sz w:val="20"/>
                <w:szCs w:val="20"/>
                <w:shd w:val="clear" w:color="auto" w:fill="FFFFFF"/>
                <w:lang w:val="en-US"/>
              </w:rPr>
            </w:pPr>
            <w:r w:rsidRPr="00534916">
              <w:rPr>
                <w:rFonts w:eastAsia="Arial Unicode MS"/>
                <w:color w:val="333333"/>
                <w:sz w:val="20"/>
                <w:szCs w:val="20"/>
                <w:shd w:val="clear" w:color="auto" w:fill="FFFFFF"/>
                <w:lang w:val="en-US"/>
              </w:rPr>
              <w:t>Utilizând valorile</w:t>
            </w:r>
            <w:r w:rsidR="000469A9" w:rsidRPr="000469A9">
              <w:rPr>
                <w:rStyle w:val="apple-converted-space"/>
                <w:rFonts w:eastAsia="Arial Unicode MS"/>
                <w:lang w:val="en-US"/>
              </w:rPr>
              <w:t xml:space="preserve"> </w:t>
            </w:r>
            <w:r w:rsidRPr="00534916">
              <w:rPr>
                <w:rStyle w:val="italics"/>
                <w:rFonts w:eastAsia="Arial Unicode MS"/>
                <w:i/>
                <w:iCs/>
                <w:color w:val="333333"/>
                <w:sz w:val="20"/>
                <w:szCs w:val="20"/>
                <w:lang w:val="en-US"/>
              </w:rPr>
              <w:t>P</w:t>
            </w:r>
            <w:r w:rsidRPr="00534916">
              <w:rPr>
                <w:rStyle w:val="subscript"/>
                <w:rFonts w:eastAsia="Arial Unicode MS"/>
                <w:i/>
                <w:iCs/>
                <w:color w:val="333333"/>
                <w:sz w:val="20"/>
                <w:szCs w:val="20"/>
                <w:vertAlign w:val="subscript"/>
                <w:lang w:val="en-US"/>
              </w:rPr>
              <w:t>L</w:t>
            </w:r>
            <w:r w:rsidR="000469A9">
              <w:rPr>
                <w:rStyle w:val="apple-converted-space"/>
                <w:rFonts w:eastAsia="Arial Unicode MS"/>
                <w:i/>
                <w:iCs/>
                <w:color w:val="333333"/>
                <w:sz w:val="20"/>
                <w:szCs w:val="20"/>
                <w:lang w:val="en-US"/>
              </w:rPr>
              <w:t xml:space="preserve"> </w:t>
            </w:r>
            <w:r w:rsidRPr="00534916">
              <w:rPr>
                <w:rFonts w:eastAsia="Arial Unicode MS"/>
                <w:color w:val="333333"/>
                <w:sz w:val="20"/>
                <w:szCs w:val="20"/>
                <w:shd w:val="clear" w:color="auto" w:fill="FFFFFF"/>
                <w:lang w:val="en-US"/>
              </w:rPr>
              <w:t>măsurate și următorul profil de sarcină:</w:t>
            </w:r>
          </w:p>
          <w:tbl>
            <w:tblPr>
              <w:tblStyle w:val="TableGrid"/>
              <w:tblW w:w="0" w:type="auto"/>
              <w:tblLayout w:type="fixed"/>
              <w:tblLook w:val="04A0" w:firstRow="1" w:lastRow="0" w:firstColumn="1" w:lastColumn="0" w:noHBand="0" w:noVBand="1"/>
            </w:tblPr>
            <w:tblGrid>
              <w:gridCol w:w="1577"/>
              <w:gridCol w:w="3154"/>
            </w:tblGrid>
            <w:tr w:rsidR="00F63804" w14:paraId="42848B77" w14:textId="77777777" w:rsidTr="00D955BF">
              <w:tc>
                <w:tcPr>
                  <w:tcW w:w="1577" w:type="dxa"/>
                </w:tcPr>
                <w:tbl>
                  <w:tblPr>
                    <w:tblStyle w:val="TableGrid"/>
                    <w:tblW w:w="0" w:type="auto"/>
                    <w:tblLayout w:type="fixed"/>
                    <w:tblLook w:val="04A0" w:firstRow="1" w:lastRow="0" w:firstColumn="1" w:lastColumn="0" w:noHBand="0" w:noVBand="1"/>
                  </w:tblPr>
                  <w:tblGrid>
                    <w:gridCol w:w="675"/>
                    <w:gridCol w:w="676"/>
                  </w:tblGrid>
                  <w:tr w:rsidR="00F63804" w14:paraId="338D9DCE" w14:textId="77777777" w:rsidTr="00F63804">
                    <w:tc>
                      <w:tcPr>
                        <w:tcW w:w="675" w:type="dxa"/>
                      </w:tcPr>
                      <w:p w14:paraId="58161FE9" w14:textId="71CED9F3"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b/>
                            <w:bCs/>
                            <w:color w:val="333333"/>
                            <w:sz w:val="20"/>
                            <w:szCs w:val="20"/>
                            <w:shd w:val="clear" w:color="auto" w:fill="FFFFFF"/>
                          </w:rPr>
                          <w:lastRenderedPageBreak/>
                          <w:t>Debit [%]</w:t>
                        </w:r>
                      </w:p>
                    </w:tc>
                    <w:tc>
                      <w:tcPr>
                        <w:tcW w:w="676" w:type="dxa"/>
                      </w:tcPr>
                      <w:p w14:paraId="63D31305" w14:textId="0C306FF4"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b/>
                            <w:bCs/>
                            <w:color w:val="333333"/>
                            <w:sz w:val="20"/>
                            <w:szCs w:val="20"/>
                            <w:shd w:val="clear" w:color="auto" w:fill="FFFFFF"/>
                          </w:rPr>
                          <w:t>Timp [%]</w:t>
                        </w:r>
                      </w:p>
                    </w:tc>
                  </w:tr>
                  <w:tr w:rsidR="00F63804" w14:paraId="127C049C" w14:textId="77777777" w:rsidTr="00F63804">
                    <w:tc>
                      <w:tcPr>
                        <w:tcW w:w="675" w:type="dxa"/>
                      </w:tcPr>
                      <w:p w14:paraId="47769198" w14:textId="6EDD0B2D"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rPr>
                          <w:t>100</w:t>
                        </w:r>
                      </w:p>
                    </w:tc>
                    <w:tc>
                      <w:tcPr>
                        <w:tcW w:w="676" w:type="dxa"/>
                      </w:tcPr>
                      <w:p w14:paraId="2ABC3CFA" w14:textId="00B158BD"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rPr>
                          <w:t>6</w:t>
                        </w:r>
                      </w:p>
                    </w:tc>
                  </w:tr>
                  <w:tr w:rsidR="00F63804" w14:paraId="4DD93106" w14:textId="77777777" w:rsidTr="00F63804">
                    <w:tc>
                      <w:tcPr>
                        <w:tcW w:w="675" w:type="dxa"/>
                      </w:tcPr>
                      <w:p w14:paraId="56279D83" w14:textId="55AEBE19"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rPr>
                          <w:t>75</w:t>
                        </w:r>
                      </w:p>
                    </w:tc>
                    <w:tc>
                      <w:tcPr>
                        <w:tcW w:w="676" w:type="dxa"/>
                      </w:tcPr>
                      <w:p w14:paraId="48D27B83" w14:textId="148A7725"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rPr>
                          <w:t>15</w:t>
                        </w:r>
                      </w:p>
                    </w:tc>
                  </w:tr>
                  <w:tr w:rsidR="00F63804" w14:paraId="1F6B1B25" w14:textId="77777777" w:rsidTr="00F63804">
                    <w:tc>
                      <w:tcPr>
                        <w:tcW w:w="675" w:type="dxa"/>
                      </w:tcPr>
                      <w:p w14:paraId="51E1DDC2" w14:textId="59DE257C"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rPr>
                          <w:t>50</w:t>
                        </w:r>
                      </w:p>
                    </w:tc>
                    <w:tc>
                      <w:tcPr>
                        <w:tcW w:w="676" w:type="dxa"/>
                      </w:tcPr>
                      <w:p w14:paraId="61053264" w14:textId="7794362B"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rPr>
                          <w:t>35</w:t>
                        </w:r>
                      </w:p>
                    </w:tc>
                  </w:tr>
                  <w:tr w:rsidR="00F63804" w14:paraId="116C5184" w14:textId="77777777" w:rsidTr="00F63804">
                    <w:tc>
                      <w:tcPr>
                        <w:tcW w:w="675" w:type="dxa"/>
                      </w:tcPr>
                      <w:p w14:paraId="4A481CEB" w14:textId="3142C697"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F63804">
                          <w:rPr>
                            <w:rFonts w:eastAsia="Arial Unicode MS"/>
                            <w:color w:val="333333"/>
                            <w:sz w:val="20"/>
                            <w:szCs w:val="20"/>
                            <w:shd w:val="clear" w:color="auto" w:fill="FFFFFF"/>
                          </w:rPr>
                          <w:t>25</w:t>
                        </w:r>
                      </w:p>
                    </w:tc>
                    <w:tc>
                      <w:tcPr>
                        <w:tcW w:w="676" w:type="dxa"/>
                      </w:tcPr>
                      <w:p w14:paraId="4B8A3DA9" w14:textId="6913B23F" w:rsidR="00F63804" w:rsidRP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rPr>
                          <w:t>44</w:t>
                        </w:r>
                      </w:p>
                    </w:tc>
                  </w:tr>
                </w:tbl>
                <w:p w14:paraId="22B5DA8C" w14:textId="77777777" w:rsid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3154" w:type="dxa"/>
                </w:tcPr>
                <w:p w14:paraId="200387FC" w14:textId="115AB085" w:rsidR="00F63804" w:rsidRDefault="00F63804" w:rsidP="001D2563">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fldChar w:fldCharType="begin"/>
                  </w:r>
                  <w:r>
                    <w:instrText xml:space="preserve"> INCLUDEPICTURE "/Users/zamfirdaria/Library/Group Containers/UBF8T346G9.ms/WebArchiveCopyPasteTempFiles/com.microsoft.Word/Z" \* MERGEFORMATINET </w:instrText>
                  </w:r>
                  <w:r>
                    <w:fldChar w:fldCharType="separate"/>
                  </w:r>
                  <w:r>
                    <w:rPr>
                      <w:noProof/>
                      <w:lang w:val="en-GB" w:eastAsia="en-GB"/>
                    </w:rPr>
                    <w:drawing>
                      <wp:inline distT="0" distB="0" distL="0" distR="0" wp14:anchorId="7D92BD0F" wp14:editId="78D15299">
                        <wp:extent cx="1865630" cy="2856865"/>
                        <wp:effectExtent l="0" t="0" r="1270" b="635"/>
                        <wp:docPr id="1026354619"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65630" cy="2856865"/>
                                </a:xfrm>
                                <a:prstGeom prst="rect">
                                  <a:avLst/>
                                </a:prstGeom>
                                <a:noFill/>
                                <a:ln>
                                  <a:noFill/>
                                </a:ln>
                              </pic:spPr>
                            </pic:pic>
                          </a:graphicData>
                        </a:graphic>
                      </wp:inline>
                    </w:drawing>
                  </w:r>
                  <w:r>
                    <w:fldChar w:fldCharType="end"/>
                  </w:r>
                </w:p>
              </w:tc>
            </w:tr>
          </w:tbl>
          <w:p w14:paraId="379CBB34" w14:textId="69EA6E88" w:rsidR="00F63804" w:rsidRPr="00F63804" w:rsidRDefault="00F63804" w:rsidP="00F63804">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lang w:val="en-US"/>
              </w:rPr>
              <w:t>se calculează puterea medie ponderată</w:t>
            </w:r>
            <w:r w:rsidR="000469A9">
              <w:rPr>
                <w:rStyle w:val="apple-converted-space"/>
                <w:rFonts w:eastAsia="Arial Unicode MS"/>
                <w:color w:val="333333"/>
                <w:sz w:val="20"/>
                <w:szCs w:val="20"/>
                <w:shd w:val="clear" w:color="auto" w:fill="FFFFFF"/>
                <w:lang w:val="en-US"/>
              </w:rPr>
              <w:t xml:space="preserve"> </w:t>
            </w:r>
            <w:r w:rsidRPr="00F63804">
              <w:rPr>
                <w:rStyle w:val="italics"/>
                <w:rFonts w:eastAsia="Arial Unicode MS"/>
                <w:i/>
                <w:iCs/>
                <w:color w:val="333333"/>
                <w:sz w:val="20"/>
                <w:szCs w:val="20"/>
                <w:lang w:val="en-US"/>
              </w:rPr>
              <w:t>P</w:t>
            </w:r>
            <w:r w:rsidRPr="00F63804">
              <w:rPr>
                <w:rStyle w:val="subscript"/>
                <w:rFonts w:eastAsia="Arial Unicode MS"/>
                <w:i/>
                <w:iCs/>
                <w:color w:val="333333"/>
                <w:sz w:val="20"/>
                <w:szCs w:val="20"/>
                <w:vertAlign w:val="subscript"/>
                <w:lang w:val="en-US"/>
              </w:rPr>
              <w:t>L,med</w:t>
            </w:r>
            <w:r w:rsidR="000469A9">
              <w:rPr>
                <w:rStyle w:val="apple-converted-space"/>
                <w:rFonts w:eastAsia="Arial Unicode MS"/>
                <w:i/>
                <w:iCs/>
                <w:color w:val="333333"/>
                <w:sz w:val="20"/>
                <w:szCs w:val="20"/>
                <w:lang w:val="en-US"/>
              </w:rPr>
              <w:t xml:space="preserve"> </w:t>
            </w:r>
            <w:r w:rsidRPr="00F63804">
              <w:rPr>
                <w:rFonts w:eastAsia="Arial Unicode MS"/>
                <w:color w:val="333333"/>
                <w:sz w:val="20"/>
                <w:szCs w:val="20"/>
                <w:shd w:val="clear" w:color="auto" w:fill="FFFFFF"/>
                <w:lang w:val="en-US"/>
              </w:rPr>
              <w:t>după cum urmează:</w:t>
            </w:r>
          </w:p>
          <w:p w14:paraId="1A3D90B0" w14:textId="511E324D" w:rsidR="00F63804" w:rsidRPr="00F63804" w:rsidRDefault="00F63804" w:rsidP="00F63804">
            <w:pPr>
              <w:pStyle w:val="ti-art"/>
              <w:shd w:val="clear" w:color="auto" w:fill="FFFFFF"/>
              <w:spacing w:before="0" w:beforeAutospacing="0" w:after="0" w:afterAutospacing="0"/>
              <w:rPr>
                <w:rStyle w:val="subscript"/>
                <w:rFonts w:eastAsia="Arial Unicode MS"/>
                <w:color w:val="333333"/>
                <w:sz w:val="20"/>
                <w:szCs w:val="20"/>
                <w:vertAlign w:val="subscript"/>
                <w:lang w:val="en-US"/>
              </w:rPr>
            </w:pPr>
            <w:r w:rsidRPr="00F63804">
              <w:rPr>
                <w:rFonts w:eastAsia="Arial Unicode MS"/>
                <w:color w:val="333333"/>
                <w:sz w:val="20"/>
                <w:szCs w:val="20"/>
                <w:shd w:val="clear" w:color="auto" w:fill="FFFFFF"/>
                <w:lang w:val="en-US"/>
              </w:rPr>
              <w:t>P</w:t>
            </w:r>
            <w:r w:rsidRPr="00F63804">
              <w:rPr>
                <w:rStyle w:val="subscript"/>
                <w:rFonts w:eastAsia="Arial Unicode MS"/>
                <w:color w:val="333333"/>
                <w:sz w:val="20"/>
                <w:szCs w:val="20"/>
                <w:vertAlign w:val="subscript"/>
                <w:lang w:val="en-US"/>
              </w:rPr>
              <w:t>L,med</w:t>
            </w:r>
            <w:r w:rsidRPr="00F63804">
              <w:rPr>
                <w:rFonts w:eastAsia="Arial Unicode MS"/>
                <w:color w:val="333333"/>
                <w:sz w:val="20"/>
                <w:szCs w:val="20"/>
                <w:shd w:val="clear" w:color="auto" w:fill="FFFFFF"/>
                <w:lang w:val="en-US"/>
              </w:rPr>
              <w:t>= 0,06</w:t>
            </w:r>
            <w:r w:rsidRPr="00F63804">
              <w:rPr>
                <w:rFonts w:eastAsia="Arial Unicode MS"/>
                <w:color w:val="333333"/>
                <w:sz w:val="20"/>
                <w:szCs w:val="20"/>
                <w:shd w:val="clear" w:color="auto" w:fill="FFFFFF"/>
              </w:rPr>
              <w:t>·</w:t>
            </w:r>
            <w:r w:rsidRPr="00F63804">
              <w:rPr>
                <w:rFonts w:eastAsia="Arial Unicode MS"/>
                <w:color w:val="333333"/>
                <w:sz w:val="20"/>
                <w:szCs w:val="20"/>
                <w:shd w:val="clear" w:color="auto" w:fill="FFFFFF"/>
                <w:lang w:val="en-US"/>
              </w:rPr>
              <w:t xml:space="preserve"> P</w:t>
            </w:r>
            <w:r w:rsidRPr="00F63804">
              <w:rPr>
                <w:rStyle w:val="subscript"/>
                <w:rFonts w:eastAsia="Arial Unicode MS"/>
                <w:color w:val="333333"/>
                <w:sz w:val="20"/>
                <w:szCs w:val="20"/>
                <w:vertAlign w:val="subscript"/>
                <w:lang w:val="en-US"/>
              </w:rPr>
              <w:t>L, 100%</w:t>
            </w:r>
            <w:r w:rsidRPr="00F63804">
              <w:rPr>
                <w:rFonts w:eastAsia="Arial Unicode MS"/>
                <w:color w:val="333333"/>
                <w:sz w:val="20"/>
                <w:szCs w:val="20"/>
                <w:shd w:val="clear" w:color="auto" w:fill="FFFFFF"/>
                <w:lang w:val="en-US"/>
              </w:rPr>
              <w:t>+ 0,15</w:t>
            </w:r>
            <w:r w:rsidRPr="00F63804">
              <w:rPr>
                <w:rFonts w:eastAsia="Arial Unicode MS"/>
                <w:color w:val="333333"/>
                <w:sz w:val="20"/>
                <w:szCs w:val="20"/>
                <w:shd w:val="clear" w:color="auto" w:fill="FFFFFF"/>
              </w:rPr>
              <w:t>·</w:t>
            </w:r>
            <w:r w:rsidRPr="00F63804">
              <w:rPr>
                <w:rFonts w:eastAsia="Arial Unicode MS"/>
                <w:color w:val="333333"/>
                <w:sz w:val="20"/>
                <w:szCs w:val="20"/>
                <w:shd w:val="clear" w:color="auto" w:fill="FFFFFF"/>
                <w:lang w:val="en-US"/>
              </w:rPr>
              <w:t xml:space="preserve"> P</w:t>
            </w:r>
            <w:r w:rsidRPr="00F63804">
              <w:rPr>
                <w:rStyle w:val="subscript"/>
                <w:rFonts w:eastAsia="Arial Unicode MS"/>
                <w:color w:val="333333"/>
                <w:sz w:val="20"/>
                <w:szCs w:val="20"/>
                <w:vertAlign w:val="subscript"/>
                <w:lang w:val="en-US"/>
              </w:rPr>
              <w:t>L, 75</w:t>
            </w:r>
            <w:r w:rsidR="000469A9">
              <w:rPr>
                <w:rStyle w:val="subscript"/>
                <w:rFonts w:eastAsia="Arial Unicode MS"/>
                <w:color w:val="333333"/>
                <w:sz w:val="20"/>
                <w:szCs w:val="20"/>
                <w:vertAlign w:val="subscript"/>
                <w:lang w:val="en-US"/>
              </w:rPr>
              <w:t xml:space="preserve"> </w:t>
            </w:r>
            <w:r w:rsidRPr="00F63804">
              <w:rPr>
                <w:rStyle w:val="subscript"/>
                <w:rFonts w:eastAsia="Arial Unicode MS"/>
                <w:color w:val="333333"/>
                <w:sz w:val="20"/>
                <w:szCs w:val="20"/>
                <w:vertAlign w:val="subscript"/>
                <w:lang w:val="en-US"/>
              </w:rPr>
              <w:t>%</w:t>
            </w:r>
            <w:r w:rsidRPr="00F63804">
              <w:rPr>
                <w:rFonts w:eastAsia="Arial Unicode MS"/>
                <w:color w:val="333333"/>
                <w:sz w:val="20"/>
                <w:szCs w:val="20"/>
                <w:shd w:val="clear" w:color="auto" w:fill="FFFFFF"/>
                <w:lang w:val="en-US"/>
              </w:rPr>
              <w:t>+ 0,35</w:t>
            </w:r>
            <w:r w:rsidRPr="00F63804">
              <w:rPr>
                <w:rFonts w:eastAsia="Arial Unicode MS"/>
                <w:color w:val="333333"/>
                <w:sz w:val="20"/>
                <w:szCs w:val="20"/>
                <w:shd w:val="clear" w:color="auto" w:fill="FFFFFF"/>
              </w:rPr>
              <w:t>·</w:t>
            </w:r>
            <w:r w:rsidRPr="00F63804">
              <w:rPr>
                <w:rFonts w:eastAsia="Arial Unicode MS"/>
                <w:color w:val="333333"/>
                <w:sz w:val="20"/>
                <w:szCs w:val="20"/>
                <w:shd w:val="clear" w:color="auto" w:fill="FFFFFF"/>
                <w:lang w:val="en-US"/>
              </w:rPr>
              <w:t xml:space="preserve"> P</w:t>
            </w:r>
            <w:r w:rsidRPr="00F63804">
              <w:rPr>
                <w:rStyle w:val="subscript"/>
                <w:rFonts w:eastAsia="Arial Unicode MS"/>
                <w:color w:val="333333"/>
                <w:sz w:val="20"/>
                <w:szCs w:val="20"/>
                <w:vertAlign w:val="subscript"/>
                <w:lang w:val="en-US"/>
              </w:rPr>
              <w:t>L, 50</w:t>
            </w:r>
            <w:r w:rsidR="000469A9">
              <w:rPr>
                <w:rStyle w:val="subscript"/>
                <w:rFonts w:eastAsia="Arial Unicode MS"/>
                <w:color w:val="333333"/>
                <w:sz w:val="20"/>
                <w:szCs w:val="20"/>
                <w:vertAlign w:val="subscript"/>
                <w:lang w:val="en-US"/>
              </w:rPr>
              <w:t xml:space="preserve"> </w:t>
            </w:r>
            <w:r w:rsidRPr="00F63804">
              <w:rPr>
                <w:rStyle w:val="subscript"/>
                <w:rFonts w:eastAsia="Arial Unicode MS"/>
                <w:color w:val="333333"/>
                <w:sz w:val="20"/>
                <w:szCs w:val="20"/>
                <w:vertAlign w:val="subscript"/>
                <w:lang w:val="en-US"/>
              </w:rPr>
              <w:t>%</w:t>
            </w:r>
            <w:r w:rsidR="000469A9">
              <w:rPr>
                <w:rStyle w:val="apple-converted-space"/>
                <w:rFonts w:eastAsia="Arial Unicode MS"/>
                <w:color w:val="333333"/>
                <w:sz w:val="20"/>
                <w:szCs w:val="20"/>
                <w:shd w:val="clear" w:color="auto" w:fill="FFFFFF"/>
                <w:lang w:val="en-US"/>
              </w:rPr>
              <w:t xml:space="preserve"> </w:t>
            </w:r>
            <w:r w:rsidRPr="00F63804">
              <w:rPr>
                <w:rFonts w:eastAsia="Arial Unicode MS"/>
                <w:color w:val="333333"/>
                <w:sz w:val="20"/>
                <w:szCs w:val="20"/>
                <w:shd w:val="clear" w:color="auto" w:fill="FFFFFF"/>
                <w:lang w:val="en-US"/>
              </w:rPr>
              <w:t>+ 0,44</w:t>
            </w:r>
            <w:r w:rsidR="000469A9">
              <w:rPr>
                <w:rFonts w:eastAsia="Arial Unicode MS"/>
                <w:color w:val="333333"/>
                <w:sz w:val="20"/>
                <w:szCs w:val="20"/>
                <w:shd w:val="clear" w:color="auto" w:fill="FFFFFF"/>
                <w:lang w:val="en-US"/>
              </w:rPr>
              <w:t xml:space="preserve"> </w:t>
            </w:r>
            <w:r w:rsidRPr="00F63804">
              <w:rPr>
                <w:rFonts w:eastAsia="Arial Unicode MS"/>
                <w:color w:val="333333"/>
                <w:sz w:val="20"/>
                <w:szCs w:val="20"/>
                <w:shd w:val="clear" w:color="auto" w:fill="FFFFFF"/>
              </w:rPr>
              <w:t>·</w:t>
            </w:r>
            <w:r w:rsidRPr="00F63804">
              <w:rPr>
                <w:rFonts w:eastAsia="Arial Unicode MS"/>
                <w:color w:val="333333"/>
                <w:sz w:val="20"/>
                <w:szCs w:val="20"/>
                <w:shd w:val="clear" w:color="auto" w:fill="FFFFFF"/>
                <w:lang w:val="en-US"/>
              </w:rPr>
              <w:t xml:space="preserve"> P</w:t>
            </w:r>
            <w:r w:rsidRPr="00F63804">
              <w:rPr>
                <w:rStyle w:val="subscript"/>
                <w:rFonts w:eastAsia="Arial Unicode MS"/>
                <w:color w:val="333333"/>
                <w:sz w:val="20"/>
                <w:szCs w:val="20"/>
                <w:vertAlign w:val="subscript"/>
                <w:lang w:val="en-US"/>
              </w:rPr>
              <w:t>L, 25</w:t>
            </w:r>
            <w:r w:rsidR="000469A9">
              <w:rPr>
                <w:rStyle w:val="subscript"/>
                <w:rFonts w:eastAsia="Arial Unicode MS"/>
                <w:color w:val="333333"/>
                <w:sz w:val="20"/>
                <w:szCs w:val="20"/>
                <w:vertAlign w:val="subscript"/>
                <w:lang w:val="en-US"/>
              </w:rPr>
              <w:t xml:space="preserve"> </w:t>
            </w:r>
            <w:r w:rsidRPr="00F63804">
              <w:rPr>
                <w:rStyle w:val="subscript"/>
                <w:rFonts w:eastAsia="Arial Unicode MS"/>
                <w:color w:val="333333"/>
                <w:sz w:val="20"/>
                <w:szCs w:val="20"/>
                <w:vertAlign w:val="subscript"/>
                <w:lang w:val="en-US"/>
              </w:rPr>
              <w:t>%</w:t>
            </w:r>
          </w:p>
          <w:p w14:paraId="4FC3C258" w14:textId="32A283A5" w:rsidR="00F63804" w:rsidRDefault="00F63804" w:rsidP="00F63804">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lang w:val="en-US"/>
              </w:rPr>
              <w:t>Se calculează indicele de eficiență energetică</w:t>
            </w:r>
            <w:r w:rsidR="000469A9">
              <w:rPr>
                <w:rFonts w:eastAsia="Arial Unicode MS"/>
                <w:color w:val="333333"/>
                <w:sz w:val="20"/>
                <w:szCs w:val="20"/>
                <w:shd w:val="clear" w:color="auto" w:fill="FFFFFF"/>
                <w:lang w:val="en-US"/>
              </w:rPr>
              <w:t xml:space="preserve"> </w:t>
            </w:r>
            <w:r w:rsidRPr="00F63804">
              <w:rPr>
                <w:rFonts w:eastAsia="Arial Unicode MS"/>
                <w:color w:val="333333"/>
                <w:sz w:val="20"/>
                <w:szCs w:val="20"/>
                <w:shd w:val="clear" w:color="auto" w:fill="FFFFFF"/>
                <w:lang w:val="en-US"/>
              </w:rPr>
              <w:t>(</w:t>
            </w:r>
            <w:hyperlink r:id="rId27" w:anchor="E0002" w:history="1">
              <w:r w:rsidRPr="00F63804">
                <w:rPr>
                  <w:rStyle w:val="superscript"/>
                  <w:rFonts w:eastAsia="Arial Unicode MS"/>
                  <w:color w:val="800080"/>
                  <w:sz w:val="20"/>
                  <w:szCs w:val="20"/>
                  <w:vertAlign w:val="superscript"/>
                  <w:lang w:val="en-US"/>
                </w:rPr>
                <w:t>*2</w:t>
              </w:r>
            </w:hyperlink>
            <w:r w:rsidRPr="00F63804">
              <w:rPr>
                <w:rFonts w:eastAsia="Arial Unicode MS"/>
                <w:color w:val="333333"/>
                <w:sz w:val="20"/>
                <w:szCs w:val="20"/>
                <w:shd w:val="clear" w:color="auto" w:fill="FFFFFF"/>
                <w:lang w:val="en-US"/>
              </w:rPr>
              <w:t>) după cum urmează:</w:t>
            </w:r>
          </w:p>
          <w:p w14:paraId="354136FB" w14:textId="177A9599" w:rsidR="00F63804" w:rsidRPr="000469A9" w:rsidRDefault="00F63804" w:rsidP="00F63804">
            <w:pPr>
              <w:pStyle w:val="ti-art"/>
              <w:shd w:val="clear" w:color="auto" w:fill="FFFFFF"/>
              <w:spacing w:before="0" w:beforeAutospacing="0" w:after="0" w:afterAutospacing="0"/>
              <w:rPr>
                <w:rFonts w:ascii="Arial Unicode MS" w:eastAsia="Arial Unicode MS" w:hAnsi="Arial Unicode MS" w:cs="Arial Unicode MS"/>
                <w:color w:val="333333"/>
                <w:sz w:val="21"/>
                <w:szCs w:val="21"/>
                <w:shd w:val="clear" w:color="auto" w:fill="FFFFFF"/>
                <w:lang w:val="en-US"/>
              </w:rPr>
            </w:pPr>
            <w:r>
              <w:fldChar w:fldCharType="begin"/>
            </w:r>
            <w:r w:rsidRPr="000469A9">
              <w:rPr>
                <w:lang w:val="en-US"/>
              </w:rPr>
              <w:instrText xml:space="preserve"> INCLUDEPICTURE "/Users/zamfirdaria/Library/Group Containers/UBF8T346G9.ms/WebArchiveCopyPasteTempFiles/com.microsoft.Word/2Q==" \* MERGEFORMATINET </w:instrText>
            </w:r>
            <w:r>
              <w:fldChar w:fldCharType="separate"/>
            </w:r>
            <w:r>
              <w:rPr>
                <w:noProof/>
                <w:lang w:val="en-GB" w:eastAsia="en-GB"/>
              </w:rPr>
              <w:drawing>
                <wp:inline distT="0" distB="0" distL="0" distR="0" wp14:anchorId="7D2A7D32" wp14:editId="528FAC07">
                  <wp:extent cx="2707005" cy="805815"/>
                  <wp:effectExtent l="0" t="0" r="0" b="0"/>
                  <wp:docPr id="1306571530"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07005" cy="805815"/>
                          </a:xfrm>
                          <a:prstGeom prst="rect">
                            <a:avLst/>
                          </a:prstGeom>
                          <a:noFill/>
                          <a:ln>
                            <a:noFill/>
                          </a:ln>
                        </pic:spPr>
                      </pic:pic>
                    </a:graphicData>
                  </a:graphic>
                </wp:inline>
              </w:drawing>
            </w:r>
            <w:r>
              <w:fldChar w:fldCharType="end"/>
            </w:r>
            <w:r w:rsidRPr="000469A9">
              <w:rPr>
                <w:rFonts w:ascii="Arial Unicode MS" w:eastAsia="Arial Unicode MS" w:hAnsi="Arial Unicode MS" w:cs="Arial Unicode MS" w:hint="eastAsia"/>
                <w:color w:val="333333"/>
                <w:sz w:val="21"/>
                <w:szCs w:val="21"/>
                <w:shd w:val="clear" w:color="auto" w:fill="FFFFFF"/>
                <w:lang w:val="en-US"/>
              </w:rPr>
              <w:t xml:space="preserve">, </w:t>
            </w:r>
            <w:r w:rsidRPr="000469A9">
              <w:rPr>
                <w:rFonts w:eastAsia="Arial Unicode MS"/>
                <w:color w:val="333333"/>
                <w:sz w:val="20"/>
                <w:szCs w:val="20"/>
                <w:shd w:val="clear" w:color="auto" w:fill="FFFFFF"/>
                <w:lang w:val="en-US"/>
              </w:rPr>
              <w:t>unde</w:t>
            </w:r>
            <w:r w:rsidR="000469A9">
              <w:rPr>
                <w:rStyle w:val="apple-converted-space"/>
                <w:rFonts w:eastAsia="Arial Unicode MS"/>
                <w:color w:val="333333"/>
                <w:sz w:val="20"/>
                <w:szCs w:val="20"/>
                <w:shd w:val="clear" w:color="auto" w:fill="FFFFFF"/>
                <w:lang w:val="en-US"/>
              </w:rPr>
              <w:t xml:space="preserve"> </w:t>
            </w:r>
            <w:r w:rsidRPr="000469A9">
              <w:rPr>
                <w:rStyle w:val="italics"/>
                <w:rFonts w:eastAsia="Arial Unicode MS"/>
                <w:i/>
                <w:iCs/>
                <w:color w:val="333333"/>
                <w:sz w:val="20"/>
                <w:szCs w:val="20"/>
                <w:lang w:val="en-US"/>
              </w:rPr>
              <w:t>C</w:t>
            </w:r>
            <w:r w:rsidR="000469A9">
              <w:rPr>
                <w:rStyle w:val="apple-converted-space"/>
                <w:rFonts w:eastAsia="Arial Unicode MS"/>
                <w:color w:val="333333"/>
                <w:sz w:val="20"/>
                <w:szCs w:val="20"/>
                <w:shd w:val="clear" w:color="auto" w:fill="FFFFFF"/>
                <w:lang w:val="en-US"/>
              </w:rPr>
              <w:t xml:space="preserve"> </w:t>
            </w:r>
            <w:r w:rsidRPr="000469A9">
              <w:rPr>
                <w:rStyle w:val="subscript"/>
                <w:rFonts w:eastAsia="Arial Unicode MS"/>
                <w:color w:val="333333"/>
                <w:sz w:val="20"/>
                <w:szCs w:val="20"/>
                <w:vertAlign w:val="subscript"/>
                <w:lang w:val="en-US"/>
              </w:rPr>
              <w:t>20</w:t>
            </w:r>
            <w:r w:rsidR="000469A9">
              <w:rPr>
                <w:rStyle w:val="subscript"/>
                <w:rFonts w:eastAsia="Arial Unicode MS"/>
                <w:color w:val="333333"/>
                <w:sz w:val="20"/>
                <w:szCs w:val="20"/>
                <w:vertAlign w:val="subscript"/>
                <w:lang w:val="en-US"/>
              </w:rPr>
              <w:t xml:space="preserve"> </w:t>
            </w:r>
            <w:r w:rsidRPr="000469A9">
              <w:rPr>
                <w:rStyle w:val="subscript"/>
                <w:rFonts w:eastAsia="Arial Unicode MS"/>
                <w:color w:val="333333"/>
                <w:sz w:val="20"/>
                <w:szCs w:val="20"/>
                <w:vertAlign w:val="subscript"/>
                <w:lang w:val="en-US"/>
              </w:rPr>
              <w:t>%</w:t>
            </w:r>
            <w:r w:rsidR="000469A9">
              <w:rPr>
                <w:rStyle w:val="apple-converted-space"/>
                <w:rFonts w:eastAsia="Arial Unicode MS"/>
                <w:color w:val="333333"/>
                <w:sz w:val="20"/>
                <w:szCs w:val="20"/>
                <w:shd w:val="clear" w:color="auto" w:fill="FFFFFF"/>
                <w:lang w:val="en-US"/>
              </w:rPr>
              <w:t xml:space="preserve"> </w:t>
            </w:r>
            <w:r w:rsidRPr="000469A9">
              <w:rPr>
                <w:rFonts w:eastAsia="Arial Unicode MS"/>
                <w:color w:val="333333"/>
                <w:sz w:val="20"/>
                <w:szCs w:val="20"/>
                <w:shd w:val="clear" w:color="auto" w:fill="FFFFFF"/>
                <w:lang w:val="en-US"/>
              </w:rPr>
              <w:t>= 0,49</w:t>
            </w:r>
          </w:p>
          <w:p w14:paraId="16B433AB" w14:textId="77777777" w:rsidR="00F63804" w:rsidRDefault="00F63804" w:rsidP="00F63804">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F63804">
              <w:rPr>
                <w:rFonts w:eastAsia="Arial Unicode MS"/>
                <w:color w:val="333333"/>
                <w:sz w:val="20"/>
                <w:szCs w:val="20"/>
                <w:shd w:val="clear" w:color="auto" w:fill="FFFFFF"/>
                <w:lang w:val="en-US"/>
              </w:rPr>
              <w:t>cu excepția pompelor de circulație integrate în produse proiectate pentru circuitele primare ale sistemelor termosolare și pentru pompele de căldură, în cazul cărora indicele de eficiență energetică se calculează după cum urmează:</w:t>
            </w:r>
          </w:p>
          <w:p w14:paraId="0B37D50C" w14:textId="77777777" w:rsidR="00F63804" w:rsidRDefault="00F63804" w:rsidP="00F63804">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7AE563DA" wp14:editId="6C2279C4">
                  <wp:extent cx="3010535" cy="443230"/>
                  <wp:effectExtent l="0" t="0" r="0" b="1270"/>
                  <wp:docPr id="810829182"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10535" cy="443230"/>
                          </a:xfrm>
                          <a:prstGeom prst="rect">
                            <a:avLst/>
                          </a:prstGeom>
                          <a:noFill/>
                          <a:ln>
                            <a:noFill/>
                          </a:ln>
                        </pic:spPr>
                      </pic:pic>
                    </a:graphicData>
                  </a:graphic>
                </wp:inline>
              </w:drawing>
            </w:r>
            <w:r>
              <w:fldChar w:fldCharType="end"/>
            </w:r>
          </w:p>
          <w:p w14:paraId="6499BEE8" w14:textId="1451E10C" w:rsidR="00F63804" w:rsidRDefault="000469A9" w:rsidP="00F63804">
            <w:pPr>
              <w:pStyle w:val="ti-art"/>
              <w:shd w:val="clear" w:color="auto" w:fill="FFFFFF"/>
              <w:spacing w:before="0" w:beforeAutospacing="0" w:after="0" w:afterAutospacing="0"/>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u</w:t>
            </w:r>
            <w:r w:rsidR="00F63804" w:rsidRPr="00F63804">
              <w:rPr>
                <w:rFonts w:eastAsia="Arial Unicode MS"/>
                <w:color w:val="333333"/>
                <w:sz w:val="20"/>
                <w:szCs w:val="20"/>
                <w:shd w:val="clear" w:color="auto" w:fill="FFFFFF"/>
                <w:lang w:val="en-US"/>
              </w:rPr>
              <w:t>nde</w:t>
            </w:r>
            <w:r>
              <w:rPr>
                <w:rStyle w:val="apple-converted-space"/>
                <w:rFonts w:eastAsia="Arial Unicode MS"/>
                <w:color w:val="333333"/>
                <w:sz w:val="20"/>
                <w:szCs w:val="20"/>
                <w:shd w:val="clear" w:color="auto" w:fill="FFFFFF"/>
                <w:lang w:val="en-US"/>
              </w:rPr>
              <w:t xml:space="preserve"> </w:t>
            </w:r>
            <w:r w:rsidR="00F63804" w:rsidRPr="00F63804">
              <w:rPr>
                <w:rStyle w:val="italics"/>
                <w:rFonts w:eastAsia="Arial Unicode MS"/>
                <w:i/>
                <w:iCs/>
                <w:color w:val="333333"/>
                <w:sz w:val="20"/>
                <w:szCs w:val="20"/>
                <w:lang w:val="en-US"/>
              </w:rPr>
              <w:t>C</w:t>
            </w:r>
            <w:r w:rsidR="00F63804" w:rsidRPr="00F63804">
              <w:rPr>
                <w:rStyle w:val="subscript"/>
                <w:rFonts w:eastAsia="Arial Unicode MS"/>
                <w:i/>
                <w:iCs/>
                <w:color w:val="333333"/>
                <w:sz w:val="20"/>
                <w:szCs w:val="20"/>
                <w:vertAlign w:val="subscript"/>
                <w:lang w:val="en-US"/>
              </w:rPr>
              <w:t>20 %</w:t>
            </w:r>
            <w:r w:rsidR="00F63804" w:rsidRPr="00F63804">
              <w:rPr>
                <w:rFonts w:eastAsia="Arial Unicode MS"/>
                <w:color w:val="333333"/>
                <w:sz w:val="20"/>
                <w:szCs w:val="20"/>
                <w:shd w:val="clear" w:color="auto" w:fill="FFFFFF"/>
                <w:lang w:val="en-US"/>
              </w:rPr>
              <w:t>= 0,49 și</w:t>
            </w:r>
            <w:r>
              <w:rPr>
                <w:rStyle w:val="apple-converted-space"/>
                <w:rFonts w:eastAsia="Arial Unicode MS"/>
                <w:color w:val="333333"/>
                <w:sz w:val="20"/>
                <w:szCs w:val="20"/>
                <w:shd w:val="clear" w:color="auto" w:fill="FFFFFF"/>
                <w:lang w:val="en-US"/>
              </w:rPr>
              <w:t xml:space="preserve"> </w:t>
            </w:r>
            <w:r w:rsidR="00F63804" w:rsidRPr="00F63804">
              <w:rPr>
                <w:rStyle w:val="italics"/>
                <w:rFonts w:eastAsia="Arial Unicode MS"/>
                <w:i/>
                <w:iCs/>
                <w:color w:val="333333"/>
                <w:sz w:val="20"/>
                <w:szCs w:val="20"/>
                <w:lang w:val="en-US"/>
              </w:rPr>
              <w:t>n</w:t>
            </w:r>
            <w:r w:rsidR="00F63804" w:rsidRPr="00F63804">
              <w:rPr>
                <w:rStyle w:val="subscript"/>
                <w:rFonts w:eastAsia="Arial Unicode MS"/>
                <w:i/>
                <w:iCs/>
                <w:color w:val="333333"/>
                <w:sz w:val="20"/>
                <w:szCs w:val="20"/>
                <w:vertAlign w:val="subscript"/>
                <w:lang w:val="en-US"/>
              </w:rPr>
              <w:t>s</w:t>
            </w:r>
            <w:r>
              <w:rPr>
                <w:rStyle w:val="apple-converted-space"/>
                <w:rFonts w:eastAsia="Arial Unicode MS"/>
                <w:i/>
                <w:iCs/>
                <w:color w:val="333333"/>
                <w:sz w:val="20"/>
                <w:szCs w:val="20"/>
                <w:lang w:val="en-US"/>
              </w:rPr>
              <w:t xml:space="preserve"> </w:t>
            </w:r>
            <w:r w:rsidR="00F63804" w:rsidRPr="00F63804">
              <w:rPr>
                <w:rFonts w:eastAsia="Arial Unicode MS"/>
                <w:color w:val="333333"/>
                <w:sz w:val="20"/>
                <w:szCs w:val="20"/>
                <w:shd w:val="clear" w:color="auto" w:fill="FFFFFF"/>
                <w:lang w:val="en-US"/>
              </w:rPr>
              <w:t>este viteza specifică definită ca:</w:t>
            </w:r>
          </w:p>
          <w:p w14:paraId="4CF66D35" w14:textId="77777777" w:rsidR="00F63804" w:rsidRDefault="00F63804" w:rsidP="00F63804">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49DB5156" wp14:editId="4A9A9D19">
                  <wp:extent cx="3010535" cy="967740"/>
                  <wp:effectExtent l="0" t="0" r="0" b="0"/>
                  <wp:docPr id="186203755"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10535" cy="967740"/>
                          </a:xfrm>
                          <a:prstGeom prst="rect">
                            <a:avLst/>
                          </a:prstGeom>
                          <a:noFill/>
                          <a:ln>
                            <a:noFill/>
                          </a:ln>
                        </pic:spPr>
                      </pic:pic>
                    </a:graphicData>
                  </a:graphic>
                </wp:inline>
              </w:drawing>
            </w:r>
            <w:r>
              <w:fldChar w:fldCharType="end"/>
            </w:r>
          </w:p>
          <w:p w14:paraId="2DDBDB44" w14:textId="77777777" w:rsidR="00F63804" w:rsidRPr="00ED257E" w:rsidRDefault="00F63804" w:rsidP="00F63804">
            <w:pPr>
              <w:pStyle w:val="ti-art"/>
              <w:shd w:val="clear" w:color="auto" w:fill="FFFFFF"/>
              <w:spacing w:before="0" w:beforeAutospacing="0" w:after="0" w:afterAutospacing="0"/>
              <w:rPr>
                <w:rFonts w:eastAsia="Arial Unicode MS"/>
                <w:color w:val="333333"/>
                <w:sz w:val="20"/>
                <w:szCs w:val="20"/>
                <w:shd w:val="clear" w:color="auto" w:fill="FFFFFF"/>
                <w:lang w:val="en-GB"/>
              </w:rPr>
            </w:pPr>
            <w:r w:rsidRPr="00ED257E">
              <w:rPr>
                <w:rFonts w:eastAsia="Arial Unicode MS"/>
                <w:color w:val="333333"/>
                <w:sz w:val="20"/>
                <w:szCs w:val="20"/>
                <w:shd w:val="clear" w:color="auto" w:fill="FFFFFF"/>
                <w:lang w:val="en-GB"/>
              </w:rPr>
              <w:lastRenderedPageBreak/>
              <w:t>unde:</w:t>
            </w:r>
          </w:p>
          <w:p w14:paraId="545FCFBD" w14:textId="77777777" w:rsidR="00F63804" w:rsidRPr="000469A9" w:rsidRDefault="003626DB" w:rsidP="00F63804">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0469A9">
              <w:rPr>
                <w:rFonts w:eastAsia="Arial Unicode MS"/>
                <w:i/>
                <w:iCs/>
                <w:color w:val="333333"/>
                <w:sz w:val="20"/>
                <w:szCs w:val="20"/>
                <w:shd w:val="clear" w:color="auto" w:fill="FFFFFF"/>
                <w:lang w:val="en-US"/>
              </w:rPr>
              <w:t>n</w:t>
            </w:r>
            <w:r w:rsidRPr="000469A9">
              <w:rPr>
                <w:rStyle w:val="subscript"/>
                <w:rFonts w:eastAsia="Arial Unicode MS"/>
                <w:i/>
                <w:iCs/>
                <w:color w:val="333333"/>
                <w:sz w:val="20"/>
                <w:szCs w:val="20"/>
                <w:vertAlign w:val="subscript"/>
                <w:lang w:val="en-US"/>
              </w:rPr>
              <w:t xml:space="preserve">s </w:t>
            </w:r>
            <w:r w:rsidRPr="000469A9">
              <w:rPr>
                <w:rFonts w:eastAsia="Arial Unicode MS"/>
                <w:color w:val="333333"/>
                <w:sz w:val="20"/>
                <w:szCs w:val="20"/>
                <w:shd w:val="clear" w:color="auto" w:fill="FFFFFF"/>
                <w:lang w:val="en-US"/>
              </w:rPr>
              <w:t xml:space="preserve"> [rpm] este viteza specifică a pompei de circulație;</w:t>
            </w:r>
          </w:p>
          <w:p w14:paraId="04A34EB0" w14:textId="1BD9A9A9" w:rsidR="003626DB" w:rsidRPr="000469A9" w:rsidRDefault="003626DB" w:rsidP="00F63804">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0469A9">
              <w:rPr>
                <w:rFonts w:eastAsia="Arial Unicode MS"/>
                <w:i/>
                <w:iCs/>
                <w:color w:val="000000" w:themeColor="text1"/>
                <w:sz w:val="20"/>
                <w:szCs w:val="20"/>
                <w:shd w:val="clear" w:color="auto" w:fill="FFFFFF"/>
                <w:lang w:val="en-US"/>
              </w:rPr>
              <w:t>n</w:t>
            </w:r>
            <w:r w:rsidRPr="000469A9">
              <w:rPr>
                <w:rStyle w:val="subscript"/>
                <w:rFonts w:eastAsia="Arial Unicode MS"/>
                <w:i/>
                <w:iCs/>
                <w:color w:val="000000" w:themeColor="text1"/>
                <w:sz w:val="20"/>
                <w:szCs w:val="20"/>
                <w:vertAlign w:val="subscript"/>
                <w:lang w:val="en-US"/>
              </w:rPr>
              <w:t>100</w:t>
            </w:r>
            <w:r w:rsidR="000469A9" w:rsidRPr="000469A9">
              <w:rPr>
                <w:rStyle w:val="subscript"/>
                <w:rFonts w:eastAsia="Arial Unicode MS"/>
                <w:i/>
                <w:iCs/>
                <w:color w:val="000000" w:themeColor="text1"/>
                <w:sz w:val="20"/>
                <w:szCs w:val="20"/>
                <w:vertAlign w:val="subscript"/>
                <w:lang w:val="en-US"/>
              </w:rPr>
              <w:t xml:space="preserve"> </w:t>
            </w:r>
            <w:r w:rsidRPr="000469A9">
              <w:rPr>
                <w:rStyle w:val="subscript"/>
                <w:rFonts w:eastAsia="Arial Unicode MS"/>
                <w:i/>
                <w:iCs/>
                <w:color w:val="000000" w:themeColor="text1"/>
                <w:sz w:val="20"/>
                <w:szCs w:val="20"/>
                <w:vertAlign w:val="subscript"/>
                <w:lang w:val="en-US"/>
              </w:rPr>
              <w:t xml:space="preserve">%.   </w:t>
            </w:r>
            <w:r w:rsidRPr="000469A9">
              <w:rPr>
                <w:rFonts w:eastAsia="Arial Unicode MS"/>
                <w:color w:val="000000" w:themeColor="text1"/>
                <w:sz w:val="20"/>
                <w:szCs w:val="20"/>
                <w:shd w:val="clear" w:color="auto" w:fill="FFFFFF"/>
                <w:lang w:val="en-US"/>
              </w:rPr>
              <w:t xml:space="preserve"> este viteza de rotație, în rpm, corespunzătoare acestor utilizări, definită la</w:t>
            </w:r>
            <w:r w:rsidR="000469A9" w:rsidRPr="000469A9">
              <w:rPr>
                <w:rStyle w:val="apple-converted-space"/>
                <w:rFonts w:eastAsia="Arial Unicode MS"/>
                <w:color w:val="000000" w:themeColor="text1"/>
                <w:sz w:val="20"/>
                <w:szCs w:val="20"/>
                <w:shd w:val="clear" w:color="auto" w:fill="FFFFFF"/>
                <w:lang w:val="en-US"/>
              </w:rPr>
              <w:t xml:space="preserve"> </w:t>
            </w:r>
            <w:r w:rsidRPr="000469A9">
              <w:rPr>
                <w:rStyle w:val="italics"/>
                <w:rFonts w:eastAsia="Arial Unicode MS"/>
                <w:i/>
                <w:iCs/>
                <w:color w:val="000000" w:themeColor="text1"/>
                <w:sz w:val="20"/>
                <w:szCs w:val="20"/>
                <w:lang w:val="en-US"/>
              </w:rPr>
              <w:t>Q</w:t>
            </w:r>
            <w:r w:rsidR="000469A9" w:rsidRPr="000469A9">
              <w:rPr>
                <w:rStyle w:val="apple-converted-space"/>
                <w:rFonts w:eastAsia="Arial Unicode MS"/>
                <w:color w:val="000000" w:themeColor="text1"/>
                <w:sz w:val="20"/>
                <w:szCs w:val="20"/>
                <w:shd w:val="clear" w:color="auto" w:fill="FFFFFF"/>
                <w:lang w:val="en-US"/>
              </w:rPr>
              <w:t xml:space="preserve"> </w:t>
            </w:r>
            <w:r w:rsidRPr="000469A9">
              <w:rPr>
                <w:rStyle w:val="subscript"/>
                <w:rFonts w:eastAsia="Arial Unicode MS"/>
                <w:color w:val="000000" w:themeColor="text1"/>
                <w:sz w:val="20"/>
                <w:szCs w:val="20"/>
                <w:vertAlign w:val="subscript"/>
                <w:lang w:val="en-US"/>
              </w:rPr>
              <w:t>100</w:t>
            </w:r>
            <w:r w:rsidR="000469A9" w:rsidRPr="000469A9">
              <w:rPr>
                <w:rStyle w:val="subscript"/>
                <w:rFonts w:eastAsia="Arial Unicode MS"/>
                <w:color w:val="000000" w:themeColor="text1"/>
                <w:sz w:val="20"/>
                <w:szCs w:val="20"/>
                <w:vertAlign w:val="subscript"/>
                <w:lang w:val="en-US"/>
              </w:rPr>
              <w:t xml:space="preserve"> </w:t>
            </w:r>
            <w:r w:rsidRPr="000469A9">
              <w:rPr>
                <w:rStyle w:val="subscript"/>
                <w:rFonts w:eastAsia="Arial Unicode MS"/>
                <w:color w:val="000000" w:themeColor="text1"/>
                <w:sz w:val="20"/>
                <w:szCs w:val="20"/>
                <w:vertAlign w:val="subscript"/>
                <w:lang w:val="en-US"/>
              </w:rPr>
              <w:t>%</w:t>
            </w:r>
            <w:r w:rsidR="000469A9" w:rsidRPr="000469A9">
              <w:rPr>
                <w:rStyle w:val="apple-converted-space"/>
                <w:rFonts w:eastAsia="Arial Unicode MS"/>
                <w:color w:val="000000" w:themeColor="text1"/>
                <w:sz w:val="20"/>
                <w:szCs w:val="20"/>
                <w:shd w:val="clear" w:color="auto" w:fill="FFFFFF"/>
                <w:lang w:val="en-US"/>
              </w:rPr>
              <w:t xml:space="preserve"> </w:t>
            </w:r>
            <w:r w:rsidRPr="000469A9">
              <w:rPr>
                <w:rFonts w:eastAsia="Arial Unicode MS"/>
                <w:color w:val="000000" w:themeColor="text1"/>
                <w:sz w:val="20"/>
                <w:szCs w:val="20"/>
                <w:shd w:val="clear" w:color="auto" w:fill="FFFFFF"/>
                <w:lang w:val="en-US"/>
              </w:rPr>
              <w:t>și</w:t>
            </w:r>
            <w:r w:rsidR="000469A9" w:rsidRPr="000469A9">
              <w:rPr>
                <w:rStyle w:val="apple-converted-space"/>
                <w:rFonts w:eastAsia="Arial Unicode MS"/>
                <w:color w:val="000000" w:themeColor="text1"/>
                <w:sz w:val="20"/>
                <w:szCs w:val="20"/>
                <w:shd w:val="clear" w:color="auto" w:fill="FFFFFF"/>
                <w:lang w:val="en-US"/>
              </w:rPr>
              <w:t xml:space="preserve"> </w:t>
            </w:r>
            <w:r w:rsidRPr="000469A9">
              <w:rPr>
                <w:rStyle w:val="italics"/>
                <w:rFonts w:eastAsia="Arial Unicode MS"/>
                <w:i/>
                <w:iCs/>
                <w:color w:val="000000" w:themeColor="text1"/>
                <w:sz w:val="20"/>
                <w:szCs w:val="20"/>
                <w:lang w:val="en-US"/>
              </w:rPr>
              <w:t>H</w:t>
            </w:r>
            <w:r w:rsidR="000469A9" w:rsidRPr="000469A9">
              <w:rPr>
                <w:rStyle w:val="apple-converted-space"/>
                <w:rFonts w:eastAsia="Arial Unicode MS"/>
                <w:color w:val="000000" w:themeColor="text1"/>
                <w:sz w:val="20"/>
                <w:szCs w:val="20"/>
                <w:shd w:val="clear" w:color="auto" w:fill="FFFFFF"/>
                <w:lang w:val="en-US"/>
              </w:rPr>
              <w:t xml:space="preserve"> </w:t>
            </w:r>
            <w:r w:rsidRPr="000469A9">
              <w:rPr>
                <w:rStyle w:val="subscript"/>
                <w:rFonts w:eastAsia="Arial Unicode MS"/>
                <w:color w:val="000000" w:themeColor="text1"/>
                <w:sz w:val="20"/>
                <w:szCs w:val="20"/>
                <w:vertAlign w:val="subscript"/>
                <w:lang w:val="en-US"/>
              </w:rPr>
              <w:t>100%</w:t>
            </w:r>
            <w:r w:rsidRPr="000469A9">
              <w:rPr>
                <w:rFonts w:eastAsia="Arial Unicode MS"/>
                <w:color w:val="000000" w:themeColor="text1"/>
                <w:sz w:val="20"/>
                <w:szCs w:val="20"/>
                <w:shd w:val="clear" w:color="auto" w:fill="FFFFFF"/>
                <w:lang w:val="en-US"/>
              </w:rPr>
              <w:t>.</w:t>
            </w:r>
          </w:p>
          <w:p w14:paraId="2E12AA56" w14:textId="5E14980C" w:rsidR="003626DB" w:rsidRPr="003626DB" w:rsidRDefault="00C43796" w:rsidP="00F63804">
            <w:pPr>
              <w:pStyle w:val="ti-art"/>
              <w:shd w:val="clear" w:color="auto" w:fill="FFFFFF"/>
              <w:spacing w:before="0" w:beforeAutospacing="0" w:after="0" w:afterAutospacing="0"/>
              <w:rPr>
                <w:rFonts w:eastAsia="Arial Unicode MS"/>
                <w:color w:val="333333"/>
                <w:sz w:val="20"/>
                <w:szCs w:val="20"/>
                <w:shd w:val="clear" w:color="auto" w:fill="FFFFFF"/>
                <w:lang w:val="en-US"/>
              </w:rPr>
            </w:pPr>
            <w:hyperlink r:id="rId31" w:tooltip="32016R2282: REPLACED" w:history="1">
              <w:r w:rsidR="003626DB" w:rsidRPr="003626DB">
                <w:rPr>
                  <w:rStyle w:val="Hyperlink"/>
                  <w:rFonts w:eastAsia="Arial Unicode MS"/>
                  <w:b/>
                  <w:bCs/>
                  <w:color w:val="4472C4" w:themeColor="accent1"/>
                  <w:sz w:val="20"/>
                  <w:szCs w:val="20"/>
                </w:rPr>
                <w:t>▼M2</w:t>
              </w:r>
            </w:hyperlink>
          </w:p>
        </w:tc>
        <w:tc>
          <w:tcPr>
            <w:tcW w:w="4394" w:type="dxa"/>
            <w:shd w:val="clear" w:color="auto" w:fill="auto"/>
          </w:tcPr>
          <w:p w14:paraId="53B3BD34" w14:textId="77777777" w:rsidR="00404625" w:rsidRDefault="00404625" w:rsidP="00112048">
            <w:pPr>
              <w:pStyle w:val="norm"/>
              <w:shd w:val="clear" w:color="auto" w:fill="FFFFFF"/>
              <w:spacing w:before="0" w:beforeAutospacing="0" w:after="0" w:afterAutospacing="0"/>
              <w:ind w:firstLine="709"/>
              <w:jc w:val="both"/>
              <w:rPr>
                <w:sz w:val="20"/>
                <w:szCs w:val="20"/>
                <w:lang w:val="en-US"/>
              </w:rPr>
            </w:pPr>
          </w:p>
          <w:p w14:paraId="6E3BC107"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2C540E81"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06EE0E03"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05B27984"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4B62C07A"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6EBC7949"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5CCB12F9"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25F4E603"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1D4CAF2B"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7CCAF0A0"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4F87542A" w14:textId="77777777" w:rsidR="00490264" w:rsidRDefault="00490264" w:rsidP="00112048">
            <w:pPr>
              <w:pStyle w:val="norm"/>
              <w:shd w:val="clear" w:color="auto" w:fill="FFFFFF"/>
              <w:spacing w:before="0" w:beforeAutospacing="0" w:after="0" w:afterAutospacing="0"/>
              <w:ind w:firstLine="709"/>
              <w:jc w:val="both"/>
              <w:rPr>
                <w:sz w:val="20"/>
                <w:szCs w:val="20"/>
                <w:lang w:val="en-US"/>
              </w:rPr>
            </w:pPr>
          </w:p>
          <w:p w14:paraId="4EA2976F" w14:textId="77777777" w:rsidR="00490264" w:rsidRDefault="00490264" w:rsidP="00490264">
            <w:pPr>
              <w:pStyle w:val="norm"/>
              <w:shd w:val="clear" w:color="auto" w:fill="FFFFFF"/>
              <w:spacing w:before="0" w:beforeAutospacing="0" w:after="0" w:afterAutospacing="0"/>
              <w:jc w:val="both"/>
              <w:rPr>
                <w:sz w:val="20"/>
                <w:szCs w:val="20"/>
                <w:lang w:val="en-US"/>
              </w:rPr>
            </w:pPr>
          </w:p>
          <w:p w14:paraId="478AFE74" w14:textId="77777777" w:rsidR="00490264" w:rsidRDefault="00490264" w:rsidP="00490264">
            <w:pPr>
              <w:pStyle w:val="norm"/>
              <w:shd w:val="clear" w:color="auto" w:fill="FFFFFF"/>
              <w:spacing w:before="0" w:beforeAutospacing="0" w:after="0" w:afterAutospacing="0"/>
              <w:jc w:val="both"/>
              <w:rPr>
                <w:sz w:val="20"/>
                <w:szCs w:val="20"/>
                <w:lang w:val="en-US"/>
              </w:rPr>
            </w:pPr>
          </w:p>
          <w:p w14:paraId="3C97775E" w14:textId="77777777" w:rsidR="00490264" w:rsidRDefault="00490264" w:rsidP="00490264">
            <w:pPr>
              <w:pStyle w:val="norm"/>
              <w:shd w:val="clear" w:color="auto" w:fill="FFFFFF"/>
              <w:spacing w:before="0" w:beforeAutospacing="0" w:after="0" w:afterAutospacing="0"/>
              <w:jc w:val="both"/>
              <w:rPr>
                <w:sz w:val="20"/>
                <w:szCs w:val="20"/>
                <w:lang w:val="en-US"/>
              </w:rPr>
            </w:pPr>
          </w:p>
          <w:p w14:paraId="1FA4FB75" w14:textId="77777777" w:rsidR="00490264" w:rsidRDefault="00490264" w:rsidP="00490264">
            <w:pPr>
              <w:pStyle w:val="norm"/>
              <w:shd w:val="clear" w:color="auto" w:fill="FFFFFF"/>
              <w:spacing w:before="0" w:beforeAutospacing="0" w:after="0" w:afterAutospacing="0"/>
              <w:jc w:val="both"/>
              <w:rPr>
                <w:sz w:val="20"/>
                <w:szCs w:val="20"/>
                <w:lang w:val="en-US"/>
              </w:rPr>
            </w:pPr>
          </w:p>
          <w:p w14:paraId="61655BB3" w14:textId="77777777" w:rsidR="00490264" w:rsidRDefault="00490264" w:rsidP="00490264">
            <w:pPr>
              <w:pStyle w:val="norm"/>
              <w:shd w:val="clear" w:color="auto" w:fill="FFFFFF"/>
              <w:spacing w:before="0" w:beforeAutospacing="0" w:after="0" w:afterAutospacing="0"/>
              <w:jc w:val="both"/>
              <w:rPr>
                <w:sz w:val="20"/>
                <w:szCs w:val="20"/>
                <w:lang w:val="en-US"/>
              </w:rPr>
            </w:pPr>
          </w:p>
          <w:p w14:paraId="12B42DD8" w14:textId="77777777" w:rsidR="00490264" w:rsidRDefault="00490264" w:rsidP="00490264">
            <w:pPr>
              <w:pStyle w:val="norm"/>
              <w:shd w:val="clear" w:color="auto" w:fill="FFFFFF"/>
              <w:spacing w:before="0" w:beforeAutospacing="0" w:after="0" w:afterAutospacing="0"/>
              <w:jc w:val="both"/>
              <w:rPr>
                <w:sz w:val="20"/>
                <w:szCs w:val="20"/>
                <w:lang w:val="en-US"/>
              </w:rPr>
            </w:pPr>
          </w:p>
          <w:p w14:paraId="7239BDEC" w14:textId="77777777" w:rsidR="00490264" w:rsidRDefault="00490264" w:rsidP="00490264">
            <w:pPr>
              <w:pStyle w:val="norm"/>
              <w:shd w:val="clear" w:color="auto" w:fill="FFFFFF"/>
              <w:spacing w:before="0" w:beforeAutospacing="0" w:after="0" w:afterAutospacing="0"/>
              <w:jc w:val="both"/>
              <w:rPr>
                <w:sz w:val="20"/>
                <w:szCs w:val="20"/>
                <w:lang w:val="en-US"/>
              </w:rPr>
            </w:pPr>
          </w:p>
          <w:p w14:paraId="78220863" w14:textId="77777777" w:rsidR="00490264" w:rsidRDefault="00490264" w:rsidP="00490264">
            <w:pPr>
              <w:pStyle w:val="norm"/>
              <w:shd w:val="clear" w:color="auto" w:fill="FFFFFF"/>
              <w:spacing w:before="0" w:beforeAutospacing="0" w:after="0" w:afterAutospacing="0"/>
              <w:jc w:val="both"/>
              <w:rPr>
                <w:sz w:val="20"/>
                <w:szCs w:val="20"/>
                <w:lang w:val="en-US"/>
              </w:rPr>
            </w:pPr>
          </w:p>
          <w:p w14:paraId="0154E0A2" w14:textId="77777777" w:rsidR="00490264" w:rsidRDefault="00490264" w:rsidP="00490264">
            <w:pPr>
              <w:pStyle w:val="norm"/>
              <w:shd w:val="clear" w:color="auto" w:fill="FFFFFF"/>
              <w:spacing w:before="0" w:beforeAutospacing="0" w:after="0" w:afterAutospacing="0"/>
              <w:jc w:val="both"/>
              <w:rPr>
                <w:sz w:val="20"/>
                <w:szCs w:val="20"/>
                <w:lang w:val="en-US"/>
              </w:rPr>
            </w:pPr>
          </w:p>
          <w:p w14:paraId="48748807" w14:textId="77777777" w:rsidR="00490264" w:rsidRDefault="00490264" w:rsidP="00490264">
            <w:pPr>
              <w:pStyle w:val="norm"/>
              <w:shd w:val="clear" w:color="auto" w:fill="FFFFFF"/>
              <w:spacing w:before="0" w:beforeAutospacing="0" w:after="0" w:afterAutospacing="0"/>
              <w:jc w:val="both"/>
              <w:rPr>
                <w:sz w:val="20"/>
                <w:szCs w:val="20"/>
                <w:lang w:val="en-US"/>
              </w:rPr>
            </w:pPr>
          </w:p>
          <w:p w14:paraId="61F255BB" w14:textId="77777777" w:rsidR="00490264" w:rsidRDefault="00490264" w:rsidP="00490264">
            <w:pPr>
              <w:pStyle w:val="norm"/>
              <w:shd w:val="clear" w:color="auto" w:fill="FFFFFF"/>
              <w:spacing w:before="0" w:beforeAutospacing="0" w:after="0" w:afterAutospacing="0"/>
              <w:jc w:val="both"/>
              <w:rPr>
                <w:sz w:val="20"/>
                <w:szCs w:val="20"/>
                <w:lang w:val="en-US"/>
              </w:rPr>
            </w:pPr>
          </w:p>
          <w:p w14:paraId="457699DA" w14:textId="77777777" w:rsidR="00490264" w:rsidRDefault="00490264" w:rsidP="00490264">
            <w:pPr>
              <w:pStyle w:val="norm"/>
              <w:shd w:val="clear" w:color="auto" w:fill="FFFFFF"/>
              <w:spacing w:before="0" w:beforeAutospacing="0" w:after="0" w:afterAutospacing="0"/>
              <w:jc w:val="both"/>
              <w:rPr>
                <w:sz w:val="20"/>
                <w:szCs w:val="20"/>
                <w:lang w:val="en-US"/>
              </w:rPr>
            </w:pPr>
          </w:p>
          <w:p w14:paraId="7BADC558" w14:textId="77777777" w:rsidR="00490264" w:rsidRDefault="00490264" w:rsidP="00490264">
            <w:pPr>
              <w:pStyle w:val="norm"/>
              <w:shd w:val="clear" w:color="auto" w:fill="FFFFFF"/>
              <w:spacing w:before="0" w:beforeAutospacing="0" w:after="0" w:afterAutospacing="0"/>
              <w:jc w:val="both"/>
              <w:rPr>
                <w:sz w:val="20"/>
                <w:szCs w:val="20"/>
                <w:lang w:val="en-US"/>
              </w:rPr>
            </w:pPr>
          </w:p>
          <w:p w14:paraId="376F488B" w14:textId="77777777" w:rsidR="00490264" w:rsidRDefault="00490264" w:rsidP="00490264">
            <w:pPr>
              <w:pStyle w:val="norm"/>
              <w:shd w:val="clear" w:color="auto" w:fill="FFFFFF"/>
              <w:spacing w:before="0" w:beforeAutospacing="0" w:after="0" w:afterAutospacing="0"/>
              <w:jc w:val="both"/>
              <w:rPr>
                <w:sz w:val="20"/>
                <w:szCs w:val="20"/>
                <w:lang w:val="en-US"/>
              </w:rPr>
            </w:pPr>
          </w:p>
          <w:p w14:paraId="5AD16883" w14:textId="77777777" w:rsidR="00490264" w:rsidRDefault="00490264" w:rsidP="00490264">
            <w:pPr>
              <w:pStyle w:val="norm"/>
              <w:shd w:val="clear" w:color="auto" w:fill="FFFFFF"/>
              <w:spacing w:before="0" w:beforeAutospacing="0" w:after="0" w:afterAutospacing="0"/>
              <w:jc w:val="both"/>
              <w:rPr>
                <w:sz w:val="20"/>
                <w:szCs w:val="20"/>
                <w:lang w:val="en-US"/>
              </w:rPr>
            </w:pPr>
          </w:p>
          <w:p w14:paraId="47F4496B" w14:textId="77777777" w:rsidR="00490264" w:rsidRDefault="00490264" w:rsidP="00490264">
            <w:pPr>
              <w:pStyle w:val="norm"/>
              <w:shd w:val="clear" w:color="auto" w:fill="FFFFFF"/>
              <w:spacing w:before="0" w:beforeAutospacing="0" w:after="0" w:afterAutospacing="0"/>
              <w:jc w:val="both"/>
              <w:rPr>
                <w:sz w:val="20"/>
                <w:szCs w:val="20"/>
                <w:lang w:val="en-US"/>
              </w:rPr>
            </w:pPr>
          </w:p>
          <w:p w14:paraId="0DADE540" w14:textId="77777777" w:rsidR="00490264" w:rsidRDefault="00490264" w:rsidP="00490264">
            <w:pPr>
              <w:pStyle w:val="norm"/>
              <w:shd w:val="clear" w:color="auto" w:fill="FFFFFF"/>
              <w:spacing w:before="0" w:beforeAutospacing="0" w:after="0" w:afterAutospacing="0"/>
              <w:jc w:val="both"/>
              <w:rPr>
                <w:sz w:val="20"/>
                <w:szCs w:val="20"/>
                <w:lang w:val="en-US"/>
              </w:rPr>
            </w:pPr>
          </w:p>
          <w:p w14:paraId="3C02954E" w14:textId="77777777" w:rsidR="00490264" w:rsidRDefault="00490264" w:rsidP="00490264">
            <w:pPr>
              <w:pStyle w:val="norm"/>
              <w:shd w:val="clear" w:color="auto" w:fill="FFFFFF"/>
              <w:spacing w:before="0" w:beforeAutospacing="0" w:after="0" w:afterAutospacing="0"/>
              <w:jc w:val="both"/>
              <w:rPr>
                <w:sz w:val="20"/>
                <w:szCs w:val="20"/>
                <w:lang w:val="en-US"/>
              </w:rPr>
            </w:pPr>
          </w:p>
          <w:p w14:paraId="4950A5B5" w14:textId="77777777" w:rsidR="00490264" w:rsidRDefault="00490264" w:rsidP="00490264">
            <w:pPr>
              <w:pStyle w:val="norm"/>
              <w:shd w:val="clear" w:color="auto" w:fill="FFFFFF"/>
              <w:spacing w:before="0" w:beforeAutospacing="0" w:after="0" w:afterAutospacing="0"/>
              <w:jc w:val="both"/>
              <w:rPr>
                <w:sz w:val="20"/>
                <w:szCs w:val="20"/>
                <w:lang w:val="en-US"/>
              </w:rPr>
            </w:pPr>
          </w:p>
          <w:p w14:paraId="1E374A15" w14:textId="77777777" w:rsidR="00490264" w:rsidRDefault="00490264" w:rsidP="00490264">
            <w:pPr>
              <w:pStyle w:val="norm"/>
              <w:shd w:val="clear" w:color="auto" w:fill="FFFFFF"/>
              <w:spacing w:before="0" w:beforeAutospacing="0" w:after="0" w:afterAutospacing="0"/>
              <w:jc w:val="both"/>
              <w:rPr>
                <w:sz w:val="20"/>
                <w:szCs w:val="20"/>
                <w:lang w:val="en-US"/>
              </w:rPr>
            </w:pPr>
          </w:p>
          <w:p w14:paraId="0B364AEF" w14:textId="77777777" w:rsidR="00490264" w:rsidRDefault="00490264" w:rsidP="00490264">
            <w:pPr>
              <w:pStyle w:val="norm"/>
              <w:shd w:val="clear" w:color="auto" w:fill="FFFFFF"/>
              <w:spacing w:before="0" w:beforeAutospacing="0" w:after="0" w:afterAutospacing="0"/>
              <w:jc w:val="both"/>
              <w:rPr>
                <w:sz w:val="20"/>
                <w:szCs w:val="20"/>
                <w:lang w:val="en-US"/>
              </w:rPr>
            </w:pPr>
          </w:p>
          <w:p w14:paraId="45D7BD90" w14:textId="77777777" w:rsidR="00490264" w:rsidRDefault="00490264" w:rsidP="00490264">
            <w:pPr>
              <w:pStyle w:val="norm"/>
              <w:shd w:val="clear" w:color="auto" w:fill="FFFFFF"/>
              <w:spacing w:before="0" w:beforeAutospacing="0" w:after="0" w:afterAutospacing="0"/>
              <w:jc w:val="both"/>
              <w:rPr>
                <w:sz w:val="20"/>
                <w:szCs w:val="20"/>
                <w:lang w:val="en-US"/>
              </w:rPr>
            </w:pPr>
          </w:p>
          <w:p w14:paraId="302323E1" w14:textId="77777777" w:rsidR="00490264" w:rsidRDefault="00490264" w:rsidP="00490264">
            <w:pPr>
              <w:pStyle w:val="norm"/>
              <w:shd w:val="clear" w:color="auto" w:fill="FFFFFF"/>
              <w:spacing w:before="0" w:beforeAutospacing="0" w:after="0" w:afterAutospacing="0"/>
              <w:jc w:val="both"/>
              <w:rPr>
                <w:sz w:val="20"/>
                <w:szCs w:val="20"/>
                <w:lang w:val="en-US"/>
              </w:rPr>
            </w:pPr>
          </w:p>
          <w:p w14:paraId="3CAE0233" w14:textId="77777777" w:rsidR="00490264" w:rsidRDefault="00490264" w:rsidP="00490264">
            <w:pPr>
              <w:pStyle w:val="norm"/>
              <w:shd w:val="clear" w:color="auto" w:fill="FFFFFF"/>
              <w:spacing w:before="0" w:beforeAutospacing="0" w:after="0" w:afterAutospacing="0"/>
              <w:jc w:val="both"/>
              <w:rPr>
                <w:sz w:val="20"/>
                <w:szCs w:val="20"/>
                <w:lang w:val="en-US"/>
              </w:rPr>
            </w:pPr>
          </w:p>
          <w:p w14:paraId="169F3CB8" w14:textId="77777777" w:rsidR="00490264" w:rsidRDefault="00490264" w:rsidP="00490264">
            <w:pPr>
              <w:pStyle w:val="norm"/>
              <w:shd w:val="clear" w:color="auto" w:fill="FFFFFF"/>
              <w:spacing w:before="0" w:beforeAutospacing="0" w:after="0" w:afterAutospacing="0"/>
              <w:jc w:val="both"/>
              <w:rPr>
                <w:sz w:val="20"/>
                <w:szCs w:val="20"/>
                <w:lang w:val="en-US"/>
              </w:rPr>
            </w:pPr>
          </w:p>
          <w:p w14:paraId="0BCC4A4E" w14:textId="77777777" w:rsidR="00490264" w:rsidRDefault="00490264" w:rsidP="00490264">
            <w:pPr>
              <w:pStyle w:val="norm"/>
              <w:shd w:val="clear" w:color="auto" w:fill="FFFFFF"/>
              <w:spacing w:before="0" w:beforeAutospacing="0" w:after="0" w:afterAutospacing="0"/>
              <w:jc w:val="both"/>
              <w:rPr>
                <w:sz w:val="20"/>
                <w:szCs w:val="20"/>
                <w:lang w:val="en-US"/>
              </w:rPr>
            </w:pPr>
          </w:p>
          <w:p w14:paraId="603A71C8" w14:textId="77777777" w:rsidR="00490264" w:rsidRDefault="00490264" w:rsidP="00490264">
            <w:pPr>
              <w:pStyle w:val="norm"/>
              <w:shd w:val="clear" w:color="auto" w:fill="FFFFFF"/>
              <w:spacing w:before="0" w:beforeAutospacing="0" w:after="0" w:afterAutospacing="0"/>
              <w:jc w:val="both"/>
              <w:rPr>
                <w:sz w:val="20"/>
                <w:szCs w:val="20"/>
                <w:lang w:val="en-US"/>
              </w:rPr>
            </w:pPr>
          </w:p>
          <w:p w14:paraId="59350545" w14:textId="77777777" w:rsidR="00490264" w:rsidRDefault="00490264" w:rsidP="00490264">
            <w:pPr>
              <w:pStyle w:val="norm"/>
              <w:shd w:val="clear" w:color="auto" w:fill="FFFFFF"/>
              <w:spacing w:before="0" w:beforeAutospacing="0" w:after="0" w:afterAutospacing="0"/>
              <w:jc w:val="both"/>
              <w:rPr>
                <w:sz w:val="20"/>
                <w:szCs w:val="20"/>
                <w:lang w:val="en-US"/>
              </w:rPr>
            </w:pPr>
          </w:p>
          <w:p w14:paraId="5091D5FC" w14:textId="77777777" w:rsidR="00490264" w:rsidRDefault="00490264" w:rsidP="00490264">
            <w:pPr>
              <w:pStyle w:val="norm"/>
              <w:shd w:val="clear" w:color="auto" w:fill="FFFFFF"/>
              <w:spacing w:before="0" w:beforeAutospacing="0" w:after="0" w:afterAutospacing="0"/>
              <w:jc w:val="both"/>
              <w:rPr>
                <w:sz w:val="20"/>
                <w:szCs w:val="20"/>
                <w:lang w:val="en-US"/>
              </w:rPr>
            </w:pPr>
          </w:p>
          <w:p w14:paraId="5720B28D" w14:textId="77777777" w:rsidR="00490264" w:rsidRDefault="00490264" w:rsidP="00490264">
            <w:pPr>
              <w:pStyle w:val="norm"/>
              <w:shd w:val="clear" w:color="auto" w:fill="FFFFFF"/>
              <w:spacing w:before="0" w:beforeAutospacing="0" w:after="0" w:afterAutospacing="0"/>
              <w:jc w:val="both"/>
              <w:rPr>
                <w:sz w:val="20"/>
                <w:szCs w:val="20"/>
                <w:lang w:val="en-US"/>
              </w:rPr>
            </w:pPr>
          </w:p>
          <w:p w14:paraId="5C26A3D4" w14:textId="77777777" w:rsidR="00490264" w:rsidRDefault="00490264" w:rsidP="00490264">
            <w:pPr>
              <w:pStyle w:val="norm"/>
              <w:shd w:val="clear" w:color="auto" w:fill="FFFFFF"/>
              <w:spacing w:before="0" w:beforeAutospacing="0" w:after="0" w:afterAutospacing="0"/>
              <w:jc w:val="both"/>
              <w:rPr>
                <w:sz w:val="20"/>
                <w:szCs w:val="20"/>
                <w:lang w:val="en-US"/>
              </w:rPr>
            </w:pPr>
          </w:p>
          <w:p w14:paraId="18363C37" w14:textId="77777777" w:rsidR="00490264" w:rsidRDefault="00490264" w:rsidP="00490264">
            <w:pPr>
              <w:pStyle w:val="norm"/>
              <w:shd w:val="clear" w:color="auto" w:fill="FFFFFF"/>
              <w:spacing w:before="0" w:beforeAutospacing="0" w:after="0" w:afterAutospacing="0"/>
              <w:jc w:val="both"/>
              <w:rPr>
                <w:sz w:val="20"/>
                <w:szCs w:val="20"/>
                <w:lang w:val="en-US"/>
              </w:rPr>
            </w:pPr>
          </w:p>
          <w:p w14:paraId="6043ED73" w14:textId="77777777" w:rsidR="00490264" w:rsidRDefault="00490264" w:rsidP="00490264">
            <w:pPr>
              <w:pStyle w:val="norm"/>
              <w:shd w:val="clear" w:color="auto" w:fill="FFFFFF"/>
              <w:spacing w:before="0" w:beforeAutospacing="0" w:after="0" w:afterAutospacing="0"/>
              <w:jc w:val="both"/>
              <w:rPr>
                <w:sz w:val="20"/>
                <w:szCs w:val="20"/>
                <w:lang w:val="en-US"/>
              </w:rPr>
            </w:pPr>
          </w:p>
          <w:p w14:paraId="7A27F8F2" w14:textId="77777777" w:rsidR="00490264" w:rsidRDefault="00490264" w:rsidP="00490264">
            <w:pPr>
              <w:pStyle w:val="norm"/>
              <w:shd w:val="clear" w:color="auto" w:fill="FFFFFF"/>
              <w:spacing w:before="0" w:beforeAutospacing="0" w:after="0" w:afterAutospacing="0"/>
              <w:jc w:val="both"/>
              <w:rPr>
                <w:sz w:val="20"/>
                <w:szCs w:val="20"/>
                <w:lang w:val="en-US"/>
              </w:rPr>
            </w:pPr>
          </w:p>
          <w:p w14:paraId="40BF2EAE" w14:textId="77777777" w:rsidR="00490264" w:rsidRDefault="00490264" w:rsidP="00490264">
            <w:pPr>
              <w:pStyle w:val="norm"/>
              <w:shd w:val="clear" w:color="auto" w:fill="FFFFFF"/>
              <w:spacing w:before="0" w:beforeAutospacing="0" w:after="0" w:afterAutospacing="0"/>
              <w:jc w:val="both"/>
              <w:rPr>
                <w:sz w:val="20"/>
                <w:szCs w:val="20"/>
                <w:lang w:val="en-US"/>
              </w:rPr>
            </w:pPr>
          </w:p>
          <w:p w14:paraId="09F6B7FB" w14:textId="77777777" w:rsidR="00490264" w:rsidRDefault="00490264" w:rsidP="00490264">
            <w:pPr>
              <w:pStyle w:val="norm"/>
              <w:shd w:val="clear" w:color="auto" w:fill="FFFFFF"/>
              <w:spacing w:before="0" w:beforeAutospacing="0" w:after="0" w:afterAutospacing="0"/>
              <w:jc w:val="both"/>
              <w:rPr>
                <w:sz w:val="20"/>
                <w:szCs w:val="20"/>
                <w:lang w:val="en-US"/>
              </w:rPr>
            </w:pPr>
          </w:p>
          <w:p w14:paraId="738E618B" w14:textId="77777777" w:rsidR="00490264" w:rsidRDefault="00490264" w:rsidP="00490264">
            <w:pPr>
              <w:pStyle w:val="norm"/>
              <w:shd w:val="clear" w:color="auto" w:fill="FFFFFF"/>
              <w:spacing w:before="0" w:beforeAutospacing="0" w:after="0" w:afterAutospacing="0"/>
              <w:jc w:val="both"/>
              <w:rPr>
                <w:sz w:val="20"/>
                <w:szCs w:val="20"/>
                <w:lang w:val="en-US"/>
              </w:rPr>
            </w:pPr>
          </w:p>
          <w:p w14:paraId="2F4E9FDF" w14:textId="77777777" w:rsidR="00490264" w:rsidRDefault="00490264" w:rsidP="00490264">
            <w:pPr>
              <w:pStyle w:val="norm"/>
              <w:shd w:val="clear" w:color="auto" w:fill="FFFFFF"/>
              <w:spacing w:before="0" w:beforeAutospacing="0" w:after="0" w:afterAutospacing="0"/>
              <w:jc w:val="both"/>
              <w:rPr>
                <w:sz w:val="20"/>
                <w:szCs w:val="20"/>
                <w:lang w:val="en-US"/>
              </w:rPr>
            </w:pPr>
          </w:p>
          <w:p w14:paraId="266393B6" w14:textId="77777777" w:rsidR="00490264" w:rsidRDefault="00490264" w:rsidP="00490264">
            <w:pPr>
              <w:pStyle w:val="norm"/>
              <w:shd w:val="clear" w:color="auto" w:fill="FFFFFF"/>
              <w:spacing w:before="0" w:beforeAutospacing="0" w:after="0" w:afterAutospacing="0"/>
              <w:jc w:val="both"/>
              <w:rPr>
                <w:sz w:val="20"/>
                <w:szCs w:val="20"/>
                <w:lang w:val="en-US"/>
              </w:rPr>
            </w:pPr>
          </w:p>
          <w:p w14:paraId="3EAA5DFE" w14:textId="77777777" w:rsidR="00490264" w:rsidRDefault="00490264" w:rsidP="00490264">
            <w:pPr>
              <w:pStyle w:val="norm"/>
              <w:shd w:val="clear" w:color="auto" w:fill="FFFFFF"/>
              <w:spacing w:before="0" w:beforeAutospacing="0" w:after="0" w:afterAutospacing="0"/>
              <w:jc w:val="both"/>
              <w:rPr>
                <w:sz w:val="20"/>
                <w:szCs w:val="20"/>
                <w:lang w:val="en-US"/>
              </w:rPr>
            </w:pPr>
          </w:p>
          <w:p w14:paraId="66AD08BE" w14:textId="77777777" w:rsidR="00490264" w:rsidRDefault="00490264" w:rsidP="00490264">
            <w:pPr>
              <w:pStyle w:val="norm"/>
              <w:shd w:val="clear" w:color="auto" w:fill="FFFFFF"/>
              <w:spacing w:before="0" w:beforeAutospacing="0" w:after="0" w:afterAutospacing="0"/>
              <w:jc w:val="both"/>
              <w:rPr>
                <w:sz w:val="20"/>
                <w:szCs w:val="20"/>
                <w:lang w:val="en-US"/>
              </w:rPr>
            </w:pPr>
          </w:p>
          <w:p w14:paraId="73395E43" w14:textId="77777777" w:rsidR="00490264" w:rsidRDefault="00490264" w:rsidP="00490264">
            <w:pPr>
              <w:pStyle w:val="norm"/>
              <w:shd w:val="clear" w:color="auto" w:fill="FFFFFF"/>
              <w:spacing w:before="0" w:beforeAutospacing="0" w:after="0" w:afterAutospacing="0"/>
              <w:jc w:val="both"/>
              <w:rPr>
                <w:sz w:val="20"/>
                <w:szCs w:val="20"/>
                <w:lang w:val="en-US"/>
              </w:rPr>
            </w:pPr>
          </w:p>
          <w:p w14:paraId="4EA181F4" w14:textId="77777777" w:rsidR="00490264" w:rsidRDefault="00490264" w:rsidP="00490264">
            <w:pPr>
              <w:pStyle w:val="norm"/>
              <w:shd w:val="clear" w:color="auto" w:fill="FFFFFF"/>
              <w:spacing w:before="0" w:beforeAutospacing="0" w:after="0" w:afterAutospacing="0"/>
              <w:jc w:val="both"/>
              <w:rPr>
                <w:sz w:val="20"/>
                <w:szCs w:val="20"/>
                <w:lang w:val="en-US"/>
              </w:rPr>
            </w:pPr>
          </w:p>
          <w:p w14:paraId="0C9D2B8B" w14:textId="77777777" w:rsidR="00490264" w:rsidRDefault="00490264" w:rsidP="00490264">
            <w:pPr>
              <w:pStyle w:val="norm"/>
              <w:shd w:val="clear" w:color="auto" w:fill="FFFFFF"/>
              <w:spacing w:before="0" w:beforeAutospacing="0" w:after="0" w:afterAutospacing="0"/>
              <w:jc w:val="both"/>
              <w:rPr>
                <w:sz w:val="20"/>
                <w:szCs w:val="20"/>
                <w:lang w:val="en-US"/>
              </w:rPr>
            </w:pPr>
          </w:p>
          <w:p w14:paraId="78CBCAE1" w14:textId="77777777" w:rsidR="00490264" w:rsidRDefault="00490264" w:rsidP="00490264">
            <w:pPr>
              <w:pStyle w:val="norm"/>
              <w:shd w:val="clear" w:color="auto" w:fill="FFFFFF"/>
              <w:spacing w:before="0" w:beforeAutospacing="0" w:after="0" w:afterAutospacing="0"/>
              <w:jc w:val="both"/>
              <w:rPr>
                <w:sz w:val="20"/>
                <w:szCs w:val="20"/>
                <w:lang w:val="en-US"/>
              </w:rPr>
            </w:pPr>
          </w:p>
          <w:p w14:paraId="6CC1C0EF" w14:textId="77777777" w:rsidR="00490264" w:rsidRDefault="00490264" w:rsidP="00490264">
            <w:pPr>
              <w:pStyle w:val="norm"/>
              <w:shd w:val="clear" w:color="auto" w:fill="FFFFFF"/>
              <w:spacing w:before="0" w:beforeAutospacing="0" w:after="0" w:afterAutospacing="0"/>
              <w:jc w:val="both"/>
              <w:rPr>
                <w:sz w:val="20"/>
                <w:szCs w:val="20"/>
                <w:lang w:val="en-US"/>
              </w:rPr>
            </w:pPr>
          </w:p>
          <w:p w14:paraId="661A9478" w14:textId="77777777" w:rsidR="00490264" w:rsidRDefault="00490264" w:rsidP="00490264">
            <w:pPr>
              <w:pStyle w:val="norm"/>
              <w:shd w:val="clear" w:color="auto" w:fill="FFFFFF"/>
              <w:spacing w:before="0" w:beforeAutospacing="0" w:after="0" w:afterAutospacing="0"/>
              <w:jc w:val="both"/>
              <w:rPr>
                <w:sz w:val="20"/>
                <w:szCs w:val="20"/>
                <w:lang w:val="en-US"/>
              </w:rPr>
            </w:pPr>
          </w:p>
          <w:p w14:paraId="4089980E" w14:textId="77777777" w:rsidR="00490264" w:rsidRDefault="00490264" w:rsidP="00490264">
            <w:pPr>
              <w:pStyle w:val="norm"/>
              <w:shd w:val="clear" w:color="auto" w:fill="FFFFFF"/>
              <w:spacing w:before="0" w:beforeAutospacing="0" w:after="0" w:afterAutospacing="0"/>
              <w:jc w:val="both"/>
              <w:rPr>
                <w:sz w:val="20"/>
                <w:szCs w:val="20"/>
                <w:lang w:val="en-US"/>
              </w:rPr>
            </w:pPr>
          </w:p>
          <w:p w14:paraId="504EFD54" w14:textId="77777777" w:rsidR="00490264" w:rsidRDefault="00490264" w:rsidP="00490264">
            <w:pPr>
              <w:pStyle w:val="norm"/>
              <w:shd w:val="clear" w:color="auto" w:fill="FFFFFF"/>
              <w:spacing w:before="0" w:beforeAutospacing="0" w:after="0" w:afterAutospacing="0"/>
              <w:jc w:val="both"/>
              <w:rPr>
                <w:sz w:val="20"/>
                <w:szCs w:val="20"/>
                <w:lang w:val="en-US"/>
              </w:rPr>
            </w:pPr>
          </w:p>
          <w:p w14:paraId="5F46A161" w14:textId="77777777" w:rsidR="00490264" w:rsidRDefault="00490264" w:rsidP="00490264">
            <w:pPr>
              <w:pStyle w:val="norm"/>
              <w:shd w:val="clear" w:color="auto" w:fill="FFFFFF"/>
              <w:spacing w:before="0" w:beforeAutospacing="0" w:after="0" w:afterAutospacing="0"/>
              <w:jc w:val="both"/>
              <w:rPr>
                <w:sz w:val="20"/>
                <w:szCs w:val="20"/>
                <w:lang w:val="en-US"/>
              </w:rPr>
            </w:pPr>
          </w:p>
          <w:p w14:paraId="19BDDD1B" w14:textId="77777777" w:rsidR="00490264" w:rsidRDefault="00490264" w:rsidP="00490264">
            <w:pPr>
              <w:pStyle w:val="norm"/>
              <w:shd w:val="clear" w:color="auto" w:fill="FFFFFF"/>
              <w:spacing w:before="0" w:beforeAutospacing="0" w:after="0" w:afterAutospacing="0"/>
              <w:jc w:val="both"/>
              <w:rPr>
                <w:sz w:val="20"/>
                <w:szCs w:val="20"/>
                <w:lang w:val="en-US"/>
              </w:rPr>
            </w:pPr>
          </w:p>
          <w:p w14:paraId="36435655" w14:textId="77777777" w:rsidR="00490264" w:rsidRDefault="00490264" w:rsidP="00490264">
            <w:pPr>
              <w:pStyle w:val="norm"/>
              <w:shd w:val="clear" w:color="auto" w:fill="FFFFFF"/>
              <w:spacing w:before="0" w:beforeAutospacing="0" w:after="0" w:afterAutospacing="0"/>
              <w:jc w:val="both"/>
              <w:rPr>
                <w:sz w:val="20"/>
                <w:szCs w:val="20"/>
                <w:lang w:val="en-US"/>
              </w:rPr>
            </w:pPr>
          </w:p>
          <w:p w14:paraId="3A930E56" w14:textId="77777777" w:rsidR="00490264" w:rsidRDefault="00490264" w:rsidP="00490264">
            <w:pPr>
              <w:pStyle w:val="norm"/>
              <w:shd w:val="clear" w:color="auto" w:fill="FFFFFF"/>
              <w:spacing w:before="0" w:beforeAutospacing="0" w:after="0" w:afterAutospacing="0"/>
              <w:jc w:val="both"/>
              <w:rPr>
                <w:sz w:val="20"/>
                <w:szCs w:val="20"/>
                <w:lang w:val="en-US"/>
              </w:rPr>
            </w:pPr>
          </w:p>
          <w:p w14:paraId="453E0A12" w14:textId="77777777" w:rsidR="00490264" w:rsidRDefault="00490264" w:rsidP="00490264">
            <w:pPr>
              <w:pStyle w:val="norm"/>
              <w:shd w:val="clear" w:color="auto" w:fill="FFFFFF"/>
              <w:spacing w:before="0" w:beforeAutospacing="0" w:after="0" w:afterAutospacing="0"/>
              <w:jc w:val="both"/>
              <w:rPr>
                <w:sz w:val="20"/>
                <w:szCs w:val="20"/>
                <w:lang w:val="en-US"/>
              </w:rPr>
            </w:pPr>
          </w:p>
          <w:p w14:paraId="5E45408F" w14:textId="77777777" w:rsidR="00490264" w:rsidRDefault="00490264" w:rsidP="00490264">
            <w:pPr>
              <w:pStyle w:val="norm"/>
              <w:shd w:val="clear" w:color="auto" w:fill="FFFFFF"/>
              <w:spacing w:before="0" w:beforeAutospacing="0" w:after="0" w:afterAutospacing="0"/>
              <w:jc w:val="both"/>
              <w:rPr>
                <w:sz w:val="20"/>
                <w:szCs w:val="20"/>
                <w:lang w:val="en-US"/>
              </w:rPr>
            </w:pPr>
          </w:p>
          <w:p w14:paraId="71B6E2D4" w14:textId="77777777" w:rsidR="00490264" w:rsidRDefault="00490264" w:rsidP="00490264">
            <w:pPr>
              <w:pStyle w:val="norm"/>
              <w:shd w:val="clear" w:color="auto" w:fill="FFFFFF"/>
              <w:spacing w:before="0" w:beforeAutospacing="0" w:after="0" w:afterAutospacing="0"/>
              <w:jc w:val="both"/>
              <w:rPr>
                <w:sz w:val="20"/>
                <w:szCs w:val="20"/>
                <w:lang w:val="en-US"/>
              </w:rPr>
            </w:pPr>
          </w:p>
          <w:p w14:paraId="08EBD168" w14:textId="77777777" w:rsidR="00490264" w:rsidRDefault="00490264" w:rsidP="00490264">
            <w:pPr>
              <w:pStyle w:val="norm"/>
              <w:shd w:val="clear" w:color="auto" w:fill="FFFFFF"/>
              <w:spacing w:before="0" w:beforeAutospacing="0" w:after="0" w:afterAutospacing="0"/>
              <w:jc w:val="both"/>
              <w:rPr>
                <w:sz w:val="20"/>
                <w:szCs w:val="20"/>
                <w:lang w:val="en-US"/>
              </w:rPr>
            </w:pPr>
          </w:p>
          <w:p w14:paraId="32C0DB77" w14:textId="77777777" w:rsidR="00490264" w:rsidRDefault="00490264" w:rsidP="00490264">
            <w:pPr>
              <w:pStyle w:val="norm"/>
              <w:shd w:val="clear" w:color="auto" w:fill="FFFFFF"/>
              <w:spacing w:before="0" w:beforeAutospacing="0" w:after="0" w:afterAutospacing="0"/>
              <w:jc w:val="both"/>
              <w:rPr>
                <w:sz w:val="20"/>
                <w:szCs w:val="20"/>
                <w:lang w:val="en-US"/>
              </w:rPr>
            </w:pPr>
          </w:p>
          <w:p w14:paraId="22B770CF" w14:textId="77777777" w:rsidR="00490264" w:rsidRDefault="00490264" w:rsidP="00490264">
            <w:pPr>
              <w:pStyle w:val="norm"/>
              <w:shd w:val="clear" w:color="auto" w:fill="FFFFFF"/>
              <w:spacing w:before="0" w:beforeAutospacing="0" w:after="0" w:afterAutospacing="0"/>
              <w:jc w:val="both"/>
              <w:rPr>
                <w:sz w:val="20"/>
                <w:szCs w:val="20"/>
                <w:lang w:val="en-US"/>
              </w:rPr>
            </w:pPr>
          </w:p>
          <w:p w14:paraId="39BE879D" w14:textId="77777777" w:rsidR="00490264" w:rsidRDefault="00490264" w:rsidP="00490264">
            <w:pPr>
              <w:pStyle w:val="norm"/>
              <w:shd w:val="clear" w:color="auto" w:fill="FFFFFF"/>
              <w:spacing w:before="0" w:beforeAutospacing="0" w:after="0" w:afterAutospacing="0"/>
              <w:jc w:val="both"/>
              <w:rPr>
                <w:sz w:val="20"/>
                <w:szCs w:val="20"/>
                <w:lang w:val="en-US"/>
              </w:rPr>
            </w:pPr>
          </w:p>
          <w:p w14:paraId="12FA2F50" w14:textId="77777777" w:rsidR="00490264" w:rsidRDefault="00490264" w:rsidP="00490264">
            <w:pPr>
              <w:pStyle w:val="norm"/>
              <w:shd w:val="clear" w:color="auto" w:fill="FFFFFF"/>
              <w:spacing w:before="0" w:beforeAutospacing="0" w:after="0" w:afterAutospacing="0"/>
              <w:jc w:val="both"/>
              <w:rPr>
                <w:sz w:val="20"/>
                <w:szCs w:val="20"/>
                <w:lang w:val="en-US"/>
              </w:rPr>
            </w:pPr>
          </w:p>
          <w:p w14:paraId="4CB9B002" w14:textId="77777777" w:rsidR="00490264" w:rsidRDefault="00490264" w:rsidP="00490264">
            <w:pPr>
              <w:pStyle w:val="norm"/>
              <w:shd w:val="clear" w:color="auto" w:fill="FFFFFF"/>
              <w:spacing w:before="0" w:beforeAutospacing="0" w:after="0" w:afterAutospacing="0"/>
              <w:jc w:val="both"/>
              <w:rPr>
                <w:sz w:val="20"/>
                <w:szCs w:val="20"/>
                <w:lang w:val="en-US"/>
              </w:rPr>
            </w:pPr>
          </w:p>
          <w:p w14:paraId="05E9DA21" w14:textId="77777777" w:rsidR="00490264" w:rsidRDefault="00490264" w:rsidP="00490264">
            <w:pPr>
              <w:pStyle w:val="norm"/>
              <w:shd w:val="clear" w:color="auto" w:fill="FFFFFF"/>
              <w:spacing w:before="0" w:beforeAutospacing="0" w:after="0" w:afterAutospacing="0"/>
              <w:jc w:val="both"/>
              <w:rPr>
                <w:sz w:val="20"/>
                <w:szCs w:val="20"/>
                <w:lang w:val="en-US"/>
              </w:rPr>
            </w:pPr>
          </w:p>
          <w:p w14:paraId="001DBBB3" w14:textId="77777777" w:rsidR="00490264" w:rsidRDefault="00490264" w:rsidP="00490264">
            <w:pPr>
              <w:pStyle w:val="norm"/>
              <w:shd w:val="clear" w:color="auto" w:fill="FFFFFF"/>
              <w:spacing w:before="0" w:beforeAutospacing="0" w:after="0" w:afterAutospacing="0"/>
              <w:jc w:val="both"/>
              <w:rPr>
                <w:sz w:val="20"/>
                <w:szCs w:val="20"/>
                <w:lang w:val="en-US"/>
              </w:rPr>
            </w:pPr>
          </w:p>
          <w:p w14:paraId="64CF72A8" w14:textId="77777777" w:rsidR="00490264" w:rsidRDefault="00490264" w:rsidP="00490264">
            <w:pPr>
              <w:pStyle w:val="norm"/>
              <w:shd w:val="clear" w:color="auto" w:fill="FFFFFF"/>
              <w:spacing w:before="0" w:beforeAutospacing="0" w:after="0" w:afterAutospacing="0"/>
              <w:jc w:val="both"/>
              <w:rPr>
                <w:sz w:val="20"/>
                <w:szCs w:val="20"/>
                <w:lang w:val="en-US"/>
              </w:rPr>
            </w:pPr>
          </w:p>
          <w:p w14:paraId="7C618CE6" w14:textId="77777777" w:rsidR="00490264" w:rsidRDefault="00490264" w:rsidP="00490264">
            <w:pPr>
              <w:pStyle w:val="norm"/>
              <w:shd w:val="clear" w:color="auto" w:fill="FFFFFF"/>
              <w:spacing w:before="0" w:beforeAutospacing="0" w:after="0" w:afterAutospacing="0"/>
              <w:jc w:val="both"/>
              <w:rPr>
                <w:sz w:val="20"/>
                <w:szCs w:val="20"/>
                <w:lang w:val="en-US"/>
              </w:rPr>
            </w:pPr>
          </w:p>
          <w:p w14:paraId="27DFACD5" w14:textId="77777777" w:rsidR="00490264" w:rsidRDefault="00490264" w:rsidP="00490264">
            <w:pPr>
              <w:pStyle w:val="norm"/>
              <w:shd w:val="clear" w:color="auto" w:fill="FFFFFF"/>
              <w:spacing w:before="0" w:beforeAutospacing="0" w:after="0" w:afterAutospacing="0"/>
              <w:jc w:val="both"/>
              <w:rPr>
                <w:sz w:val="20"/>
                <w:szCs w:val="20"/>
                <w:lang w:val="en-US"/>
              </w:rPr>
            </w:pPr>
          </w:p>
          <w:p w14:paraId="60A75BC0" w14:textId="77777777" w:rsidR="00490264" w:rsidRDefault="00490264" w:rsidP="00490264">
            <w:pPr>
              <w:pStyle w:val="norm"/>
              <w:shd w:val="clear" w:color="auto" w:fill="FFFFFF"/>
              <w:spacing w:before="0" w:beforeAutospacing="0" w:after="0" w:afterAutospacing="0"/>
              <w:jc w:val="both"/>
              <w:rPr>
                <w:sz w:val="20"/>
                <w:szCs w:val="20"/>
                <w:lang w:val="en-US"/>
              </w:rPr>
            </w:pPr>
          </w:p>
          <w:p w14:paraId="023191D4" w14:textId="77777777" w:rsidR="00490264" w:rsidRDefault="00490264" w:rsidP="00490264">
            <w:pPr>
              <w:pStyle w:val="norm"/>
              <w:shd w:val="clear" w:color="auto" w:fill="FFFFFF"/>
              <w:spacing w:before="0" w:beforeAutospacing="0" w:after="0" w:afterAutospacing="0"/>
              <w:jc w:val="both"/>
              <w:rPr>
                <w:sz w:val="20"/>
                <w:szCs w:val="20"/>
                <w:lang w:val="en-US"/>
              </w:rPr>
            </w:pPr>
          </w:p>
          <w:p w14:paraId="11772253" w14:textId="77777777" w:rsidR="00490264" w:rsidRDefault="00490264" w:rsidP="00490264">
            <w:pPr>
              <w:pStyle w:val="norm"/>
              <w:shd w:val="clear" w:color="auto" w:fill="FFFFFF"/>
              <w:spacing w:before="0" w:beforeAutospacing="0" w:after="0" w:afterAutospacing="0"/>
              <w:jc w:val="both"/>
              <w:rPr>
                <w:sz w:val="20"/>
                <w:szCs w:val="20"/>
                <w:lang w:val="en-US"/>
              </w:rPr>
            </w:pPr>
          </w:p>
          <w:p w14:paraId="396C8085" w14:textId="77777777" w:rsidR="00490264" w:rsidRDefault="00490264" w:rsidP="00490264">
            <w:pPr>
              <w:pStyle w:val="norm"/>
              <w:shd w:val="clear" w:color="auto" w:fill="FFFFFF"/>
              <w:spacing w:before="0" w:beforeAutospacing="0" w:after="0" w:afterAutospacing="0"/>
              <w:jc w:val="both"/>
              <w:rPr>
                <w:sz w:val="20"/>
                <w:szCs w:val="20"/>
                <w:lang w:val="en-US"/>
              </w:rPr>
            </w:pPr>
          </w:p>
          <w:p w14:paraId="038D0185" w14:textId="77777777" w:rsidR="00490264" w:rsidRDefault="00490264" w:rsidP="00490264">
            <w:pPr>
              <w:pStyle w:val="norm"/>
              <w:shd w:val="clear" w:color="auto" w:fill="FFFFFF"/>
              <w:spacing w:before="0" w:beforeAutospacing="0" w:after="0" w:afterAutospacing="0"/>
              <w:jc w:val="both"/>
              <w:rPr>
                <w:sz w:val="20"/>
                <w:szCs w:val="20"/>
                <w:lang w:val="en-US"/>
              </w:rPr>
            </w:pPr>
          </w:p>
          <w:p w14:paraId="6EC655C8" w14:textId="77777777" w:rsidR="00490264" w:rsidRDefault="00490264" w:rsidP="00490264">
            <w:pPr>
              <w:pStyle w:val="norm"/>
              <w:shd w:val="clear" w:color="auto" w:fill="FFFFFF"/>
              <w:spacing w:before="0" w:beforeAutospacing="0" w:after="0" w:afterAutospacing="0"/>
              <w:jc w:val="both"/>
              <w:rPr>
                <w:sz w:val="20"/>
                <w:szCs w:val="20"/>
                <w:lang w:val="en-US"/>
              </w:rPr>
            </w:pPr>
          </w:p>
          <w:p w14:paraId="27B850D9" w14:textId="77777777" w:rsidR="00490264" w:rsidRDefault="00490264" w:rsidP="00490264">
            <w:pPr>
              <w:pStyle w:val="norm"/>
              <w:shd w:val="clear" w:color="auto" w:fill="FFFFFF"/>
              <w:spacing w:before="0" w:beforeAutospacing="0" w:after="0" w:afterAutospacing="0"/>
              <w:jc w:val="both"/>
              <w:rPr>
                <w:sz w:val="20"/>
                <w:szCs w:val="20"/>
                <w:lang w:val="en-US"/>
              </w:rPr>
            </w:pPr>
          </w:p>
          <w:p w14:paraId="287F381E" w14:textId="77777777" w:rsidR="00490264" w:rsidRDefault="00490264" w:rsidP="00490264">
            <w:pPr>
              <w:pStyle w:val="norm"/>
              <w:shd w:val="clear" w:color="auto" w:fill="FFFFFF"/>
              <w:spacing w:before="0" w:beforeAutospacing="0" w:after="0" w:afterAutospacing="0"/>
              <w:jc w:val="both"/>
              <w:rPr>
                <w:sz w:val="20"/>
                <w:szCs w:val="20"/>
                <w:lang w:val="en-US"/>
              </w:rPr>
            </w:pPr>
          </w:p>
          <w:p w14:paraId="7F7FA558" w14:textId="77777777" w:rsidR="00490264" w:rsidRDefault="00490264" w:rsidP="00490264">
            <w:pPr>
              <w:pStyle w:val="norm"/>
              <w:shd w:val="clear" w:color="auto" w:fill="FFFFFF"/>
              <w:spacing w:before="0" w:beforeAutospacing="0" w:after="0" w:afterAutospacing="0"/>
              <w:jc w:val="both"/>
              <w:rPr>
                <w:sz w:val="20"/>
                <w:szCs w:val="20"/>
                <w:lang w:val="en-US"/>
              </w:rPr>
            </w:pPr>
          </w:p>
          <w:p w14:paraId="48089A71" w14:textId="77777777" w:rsidR="00490264" w:rsidRDefault="00490264" w:rsidP="00490264">
            <w:pPr>
              <w:pStyle w:val="norm"/>
              <w:shd w:val="clear" w:color="auto" w:fill="FFFFFF"/>
              <w:spacing w:before="0" w:beforeAutospacing="0" w:after="0" w:afterAutospacing="0"/>
              <w:jc w:val="both"/>
              <w:rPr>
                <w:sz w:val="20"/>
                <w:szCs w:val="20"/>
                <w:lang w:val="en-US"/>
              </w:rPr>
            </w:pPr>
          </w:p>
          <w:p w14:paraId="31935270" w14:textId="77777777" w:rsidR="00490264" w:rsidRDefault="00490264" w:rsidP="00490264">
            <w:pPr>
              <w:pStyle w:val="norm"/>
              <w:shd w:val="clear" w:color="auto" w:fill="FFFFFF"/>
              <w:spacing w:before="0" w:beforeAutospacing="0" w:after="0" w:afterAutospacing="0"/>
              <w:jc w:val="both"/>
              <w:rPr>
                <w:sz w:val="20"/>
                <w:szCs w:val="20"/>
                <w:lang w:val="en-US"/>
              </w:rPr>
            </w:pPr>
          </w:p>
          <w:p w14:paraId="374BFE0E" w14:textId="77777777" w:rsidR="00490264" w:rsidRDefault="00490264" w:rsidP="00490264">
            <w:pPr>
              <w:pStyle w:val="norm"/>
              <w:shd w:val="clear" w:color="auto" w:fill="FFFFFF"/>
              <w:spacing w:before="0" w:beforeAutospacing="0" w:after="0" w:afterAutospacing="0"/>
              <w:jc w:val="both"/>
              <w:rPr>
                <w:sz w:val="20"/>
                <w:szCs w:val="20"/>
                <w:lang w:val="en-US"/>
              </w:rPr>
            </w:pPr>
          </w:p>
          <w:p w14:paraId="2D1700A7" w14:textId="77777777" w:rsidR="00490264" w:rsidRDefault="00490264" w:rsidP="00490264">
            <w:pPr>
              <w:pStyle w:val="norm"/>
              <w:shd w:val="clear" w:color="auto" w:fill="FFFFFF"/>
              <w:spacing w:before="0" w:beforeAutospacing="0" w:after="0" w:afterAutospacing="0"/>
              <w:jc w:val="both"/>
              <w:rPr>
                <w:sz w:val="20"/>
                <w:szCs w:val="20"/>
                <w:lang w:val="en-US"/>
              </w:rPr>
            </w:pPr>
          </w:p>
          <w:p w14:paraId="774EC29F" w14:textId="77777777" w:rsidR="00490264" w:rsidRDefault="00490264" w:rsidP="00490264">
            <w:pPr>
              <w:pStyle w:val="norm"/>
              <w:shd w:val="clear" w:color="auto" w:fill="FFFFFF"/>
              <w:spacing w:before="0" w:beforeAutospacing="0" w:after="0" w:afterAutospacing="0"/>
              <w:jc w:val="both"/>
              <w:rPr>
                <w:sz w:val="20"/>
                <w:szCs w:val="20"/>
                <w:lang w:val="en-US"/>
              </w:rPr>
            </w:pPr>
          </w:p>
          <w:p w14:paraId="7F288C25" w14:textId="77777777" w:rsidR="00490264" w:rsidRDefault="00490264" w:rsidP="00490264">
            <w:pPr>
              <w:pStyle w:val="norm"/>
              <w:shd w:val="clear" w:color="auto" w:fill="FFFFFF"/>
              <w:spacing w:before="0" w:beforeAutospacing="0" w:after="0" w:afterAutospacing="0"/>
              <w:jc w:val="both"/>
              <w:rPr>
                <w:sz w:val="20"/>
                <w:szCs w:val="20"/>
                <w:lang w:val="en-US"/>
              </w:rPr>
            </w:pPr>
          </w:p>
          <w:p w14:paraId="6D11C6F6" w14:textId="77777777" w:rsidR="00490264" w:rsidRDefault="00490264" w:rsidP="00490264">
            <w:pPr>
              <w:pStyle w:val="norm"/>
              <w:shd w:val="clear" w:color="auto" w:fill="FFFFFF"/>
              <w:spacing w:before="0" w:beforeAutospacing="0" w:after="0" w:afterAutospacing="0"/>
              <w:jc w:val="both"/>
              <w:rPr>
                <w:sz w:val="20"/>
                <w:szCs w:val="20"/>
                <w:lang w:val="en-US"/>
              </w:rPr>
            </w:pPr>
          </w:p>
          <w:p w14:paraId="5F22125B" w14:textId="77777777" w:rsidR="00490264" w:rsidRDefault="00490264" w:rsidP="00490264">
            <w:pPr>
              <w:pStyle w:val="norm"/>
              <w:shd w:val="clear" w:color="auto" w:fill="FFFFFF"/>
              <w:spacing w:before="0" w:beforeAutospacing="0" w:after="0" w:afterAutospacing="0"/>
              <w:jc w:val="both"/>
              <w:rPr>
                <w:sz w:val="20"/>
                <w:szCs w:val="20"/>
                <w:lang w:val="en-US"/>
              </w:rPr>
            </w:pPr>
          </w:p>
          <w:p w14:paraId="2C45B470" w14:textId="77777777" w:rsidR="00490264" w:rsidRDefault="00490264" w:rsidP="00490264">
            <w:pPr>
              <w:pStyle w:val="norm"/>
              <w:shd w:val="clear" w:color="auto" w:fill="FFFFFF"/>
              <w:spacing w:before="0" w:beforeAutospacing="0" w:after="0" w:afterAutospacing="0"/>
              <w:jc w:val="both"/>
              <w:rPr>
                <w:sz w:val="20"/>
                <w:szCs w:val="20"/>
                <w:lang w:val="en-US"/>
              </w:rPr>
            </w:pPr>
          </w:p>
          <w:p w14:paraId="601654A3" w14:textId="77777777" w:rsidR="00490264" w:rsidRDefault="00490264" w:rsidP="00490264">
            <w:pPr>
              <w:pStyle w:val="norm"/>
              <w:shd w:val="clear" w:color="auto" w:fill="FFFFFF"/>
              <w:spacing w:before="0" w:beforeAutospacing="0" w:after="0" w:afterAutospacing="0"/>
              <w:jc w:val="both"/>
              <w:rPr>
                <w:sz w:val="20"/>
                <w:szCs w:val="20"/>
                <w:lang w:val="en-US"/>
              </w:rPr>
            </w:pPr>
          </w:p>
          <w:p w14:paraId="19568DC5" w14:textId="77777777" w:rsidR="00490264" w:rsidRDefault="00490264" w:rsidP="00490264">
            <w:pPr>
              <w:pStyle w:val="norm"/>
              <w:shd w:val="clear" w:color="auto" w:fill="FFFFFF"/>
              <w:spacing w:before="0" w:beforeAutospacing="0" w:after="0" w:afterAutospacing="0"/>
              <w:jc w:val="both"/>
              <w:rPr>
                <w:sz w:val="20"/>
                <w:szCs w:val="20"/>
                <w:lang w:val="en-US"/>
              </w:rPr>
            </w:pPr>
          </w:p>
          <w:p w14:paraId="3DBD6C97" w14:textId="77777777" w:rsidR="00490264" w:rsidRDefault="00490264" w:rsidP="00490264">
            <w:pPr>
              <w:pStyle w:val="norm"/>
              <w:shd w:val="clear" w:color="auto" w:fill="FFFFFF"/>
              <w:spacing w:before="0" w:beforeAutospacing="0" w:after="0" w:afterAutospacing="0"/>
              <w:jc w:val="both"/>
              <w:rPr>
                <w:sz w:val="20"/>
                <w:szCs w:val="20"/>
                <w:lang w:val="en-US"/>
              </w:rPr>
            </w:pPr>
          </w:p>
          <w:p w14:paraId="1E9D1EDE" w14:textId="77777777" w:rsidR="00490264" w:rsidRDefault="00490264" w:rsidP="00490264">
            <w:pPr>
              <w:pStyle w:val="norm"/>
              <w:shd w:val="clear" w:color="auto" w:fill="FFFFFF"/>
              <w:spacing w:before="0" w:beforeAutospacing="0" w:after="0" w:afterAutospacing="0"/>
              <w:jc w:val="both"/>
              <w:rPr>
                <w:sz w:val="20"/>
                <w:szCs w:val="20"/>
                <w:lang w:val="en-US"/>
              </w:rPr>
            </w:pPr>
          </w:p>
          <w:p w14:paraId="3BF136F0" w14:textId="77777777" w:rsidR="00490264" w:rsidRDefault="00490264" w:rsidP="00490264">
            <w:pPr>
              <w:pStyle w:val="norm"/>
              <w:shd w:val="clear" w:color="auto" w:fill="FFFFFF"/>
              <w:spacing w:before="0" w:beforeAutospacing="0" w:after="0" w:afterAutospacing="0"/>
              <w:jc w:val="both"/>
              <w:rPr>
                <w:sz w:val="20"/>
                <w:szCs w:val="20"/>
                <w:lang w:val="en-US"/>
              </w:rPr>
            </w:pPr>
          </w:p>
          <w:p w14:paraId="2AE307C7" w14:textId="77777777" w:rsidR="00490264" w:rsidRDefault="00490264" w:rsidP="00490264">
            <w:pPr>
              <w:pStyle w:val="norm"/>
              <w:shd w:val="clear" w:color="auto" w:fill="FFFFFF"/>
              <w:spacing w:before="0" w:beforeAutospacing="0" w:after="0" w:afterAutospacing="0"/>
              <w:jc w:val="both"/>
              <w:rPr>
                <w:sz w:val="20"/>
                <w:szCs w:val="20"/>
                <w:lang w:val="en-US"/>
              </w:rPr>
            </w:pPr>
          </w:p>
          <w:p w14:paraId="4B9DBD8A" w14:textId="77777777" w:rsidR="00490264" w:rsidRDefault="00490264" w:rsidP="00490264">
            <w:pPr>
              <w:pStyle w:val="norm"/>
              <w:shd w:val="clear" w:color="auto" w:fill="FFFFFF"/>
              <w:spacing w:before="0" w:beforeAutospacing="0" w:after="0" w:afterAutospacing="0"/>
              <w:jc w:val="both"/>
              <w:rPr>
                <w:sz w:val="20"/>
                <w:szCs w:val="20"/>
                <w:lang w:val="en-US"/>
              </w:rPr>
            </w:pPr>
          </w:p>
          <w:p w14:paraId="4667F6A8" w14:textId="77777777" w:rsidR="00490264" w:rsidRDefault="00490264" w:rsidP="00490264">
            <w:pPr>
              <w:pStyle w:val="norm"/>
              <w:shd w:val="clear" w:color="auto" w:fill="FFFFFF"/>
              <w:spacing w:before="0" w:beforeAutospacing="0" w:after="0" w:afterAutospacing="0"/>
              <w:jc w:val="both"/>
              <w:rPr>
                <w:sz w:val="20"/>
                <w:szCs w:val="20"/>
                <w:lang w:val="en-US"/>
              </w:rPr>
            </w:pPr>
          </w:p>
          <w:p w14:paraId="2DB0A13D" w14:textId="77777777" w:rsidR="00490264" w:rsidRDefault="00490264" w:rsidP="00490264">
            <w:pPr>
              <w:pStyle w:val="norm"/>
              <w:shd w:val="clear" w:color="auto" w:fill="FFFFFF"/>
              <w:spacing w:before="0" w:beforeAutospacing="0" w:after="0" w:afterAutospacing="0"/>
              <w:jc w:val="both"/>
              <w:rPr>
                <w:sz w:val="20"/>
                <w:szCs w:val="20"/>
                <w:lang w:val="en-US"/>
              </w:rPr>
            </w:pPr>
          </w:p>
          <w:p w14:paraId="19C85201" w14:textId="77777777" w:rsidR="00490264" w:rsidRDefault="00490264" w:rsidP="00490264">
            <w:pPr>
              <w:pStyle w:val="norm"/>
              <w:shd w:val="clear" w:color="auto" w:fill="FFFFFF"/>
              <w:spacing w:before="0" w:beforeAutospacing="0" w:after="0" w:afterAutospacing="0"/>
              <w:jc w:val="both"/>
              <w:rPr>
                <w:sz w:val="20"/>
                <w:szCs w:val="20"/>
                <w:lang w:val="en-US"/>
              </w:rPr>
            </w:pPr>
          </w:p>
          <w:p w14:paraId="2A13A76E" w14:textId="77777777" w:rsidR="00490264" w:rsidRDefault="00490264" w:rsidP="00490264">
            <w:pPr>
              <w:pStyle w:val="norm"/>
              <w:shd w:val="clear" w:color="auto" w:fill="FFFFFF"/>
              <w:spacing w:before="0" w:beforeAutospacing="0" w:after="0" w:afterAutospacing="0"/>
              <w:jc w:val="both"/>
              <w:rPr>
                <w:sz w:val="20"/>
                <w:szCs w:val="20"/>
                <w:lang w:val="en-US"/>
              </w:rPr>
            </w:pPr>
          </w:p>
          <w:p w14:paraId="73C8CE8A" w14:textId="77777777" w:rsidR="00490264" w:rsidRDefault="00490264" w:rsidP="00490264">
            <w:pPr>
              <w:pStyle w:val="norm"/>
              <w:shd w:val="clear" w:color="auto" w:fill="FFFFFF"/>
              <w:spacing w:before="0" w:beforeAutospacing="0" w:after="0" w:afterAutospacing="0"/>
              <w:jc w:val="both"/>
              <w:rPr>
                <w:sz w:val="20"/>
                <w:szCs w:val="20"/>
                <w:lang w:val="en-US"/>
              </w:rPr>
            </w:pPr>
          </w:p>
          <w:p w14:paraId="4ED8C0C9" w14:textId="77777777" w:rsidR="00490264" w:rsidRDefault="00490264" w:rsidP="00490264">
            <w:pPr>
              <w:pStyle w:val="norm"/>
              <w:shd w:val="clear" w:color="auto" w:fill="FFFFFF"/>
              <w:spacing w:before="0" w:beforeAutospacing="0" w:after="0" w:afterAutospacing="0"/>
              <w:jc w:val="both"/>
              <w:rPr>
                <w:sz w:val="20"/>
                <w:szCs w:val="20"/>
                <w:lang w:val="en-US"/>
              </w:rPr>
            </w:pPr>
          </w:p>
          <w:p w14:paraId="082CA5BC" w14:textId="77777777" w:rsidR="00490264" w:rsidRDefault="00490264" w:rsidP="00490264">
            <w:pPr>
              <w:pStyle w:val="norm"/>
              <w:shd w:val="clear" w:color="auto" w:fill="FFFFFF"/>
              <w:spacing w:before="0" w:beforeAutospacing="0" w:after="0" w:afterAutospacing="0"/>
              <w:jc w:val="both"/>
              <w:rPr>
                <w:sz w:val="20"/>
                <w:szCs w:val="20"/>
                <w:lang w:val="en-US"/>
              </w:rPr>
            </w:pPr>
          </w:p>
          <w:p w14:paraId="086EB16A" w14:textId="77777777" w:rsidR="00490264" w:rsidRDefault="00490264" w:rsidP="00490264">
            <w:pPr>
              <w:pStyle w:val="norm"/>
              <w:shd w:val="clear" w:color="auto" w:fill="FFFFFF"/>
              <w:spacing w:before="0" w:beforeAutospacing="0" w:after="0" w:afterAutospacing="0"/>
              <w:jc w:val="both"/>
              <w:rPr>
                <w:sz w:val="20"/>
                <w:szCs w:val="20"/>
                <w:lang w:val="en-US"/>
              </w:rPr>
            </w:pPr>
          </w:p>
          <w:p w14:paraId="16D04BAC" w14:textId="77777777" w:rsidR="00490264" w:rsidRDefault="00490264" w:rsidP="00490264">
            <w:pPr>
              <w:pStyle w:val="norm"/>
              <w:shd w:val="clear" w:color="auto" w:fill="FFFFFF"/>
              <w:spacing w:before="0" w:beforeAutospacing="0" w:after="0" w:afterAutospacing="0"/>
              <w:jc w:val="both"/>
              <w:rPr>
                <w:sz w:val="20"/>
                <w:szCs w:val="20"/>
                <w:lang w:val="en-US"/>
              </w:rPr>
            </w:pPr>
          </w:p>
          <w:p w14:paraId="579D9DEA" w14:textId="77777777" w:rsidR="00490264" w:rsidRDefault="00490264" w:rsidP="00490264">
            <w:pPr>
              <w:pStyle w:val="norm"/>
              <w:shd w:val="clear" w:color="auto" w:fill="FFFFFF"/>
              <w:spacing w:before="0" w:beforeAutospacing="0" w:after="0" w:afterAutospacing="0"/>
              <w:jc w:val="both"/>
              <w:rPr>
                <w:sz w:val="20"/>
                <w:szCs w:val="20"/>
                <w:lang w:val="en-US"/>
              </w:rPr>
            </w:pPr>
          </w:p>
          <w:p w14:paraId="61FDA8E2" w14:textId="77777777" w:rsidR="00490264" w:rsidRDefault="00490264" w:rsidP="00490264">
            <w:pPr>
              <w:pStyle w:val="norm"/>
              <w:shd w:val="clear" w:color="auto" w:fill="FFFFFF"/>
              <w:spacing w:before="0" w:beforeAutospacing="0" w:after="0" w:afterAutospacing="0"/>
              <w:jc w:val="both"/>
              <w:rPr>
                <w:sz w:val="20"/>
                <w:szCs w:val="20"/>
                <w:lang w:val="en-US"/>
              </w:rPr>
            </w:pPr>
          </w:p>
          <w:p w14:paraId="7A0DF4FE" w14:textId="77777777" w:rsidR="00490264" w:rsidRDefault="00490264" w:rsidP="00490264">
            <w:pPr>
              <w:pStyle w:val="norm"/>
              <w:shd w:val="clear" w:color="auto" w:fill="FFFFFF"/>
              <w:spacing w:before="0" w:beforeAutospacing="0" w:after="0" w:afterAutospacing="0"/>
              <w:jc w:val="both"/>
              <w:rPr>
                <w:sz w:val="20"/>
                <w:szCs w:val="20"/>
                <w:lang w:val="en-US"/>
              </w:rPr>
            </w:pPr>
          </w:p>
          <w:p w14:paraId="3D7B1135" w14:textId="77777777" w:rsidR="00490264" w:rsidRDefault="00490264" w:rsidP="00490264">
            <w:pPr>
              <w:pStyle w:val="norm"/>
              <w:shd w:val="clear" w:color="auto" w:fill="FFFFFF"/>
              <w:spacing w:before="0" w:beforeAutospacing="0" w:after="0" w:afterAutospacing="0"/>
              <w:jc w:val="both"/>
              <w:rPr>
                <w:sz w:val="20"/>
                <w:szCs w:val="20"/>
                <w:lang w:val="en-US"/>
              </w:rPr>
            </w:pPr>
          </w:p>
          <w:p w14:paraId="58521DDD" w14:textId="77777777" w:rsidR="00490264" w:rsidRDefault="00490264" w:rsidP="00490264">
            <w:pPr>
              <w:pStyle w:val="norm"/>
              <w:shd w:val="clear" w:color="auto" w:fill="FFFFFF"/>
              <w:spacing w:before="0" w:beforeAutospacing="0" w:after="0" w:afterAutospacing="0"/>
              <w:jc w:val="both"/>
              <w:rPr>
                <w:sz w:val="20"/>
                <w:szCs w:val="20"/>
                <w:lang w:val="en-US"/>
              </w:rPr>
            </w:pPr>
          </w:p>
          <w:p w14:paraId="69C6CB2A" w14:textId="77777777" w:rsidR="00490264" w:rsidRDefault="00490264" w:rsidP="00490264">
            <w:pPr>
              <w:pStyle w:val="norm"/>
              <w:shd w:val="clear" w:color="auto" w:fill="FFFFFF"/>
              <w:spacing w:before="0" w:beforeAutospacing="0" w:after="0" w:afterAutospacing="0"/>
              <w:jc w:val="both"/>
              <w:rPr>
                <w:sz w:val="20"/>
                <w:szCs w:val="20"/>
                <w:lang w:val="en-US"/>
              </w:rPr>
            </w:pPr>
          </w:p>
          <w:p w14:paraId="10E168F4" w14:textId="77777777" w:rsidR="00490264" w:rsidRDefault="00490264" w:rsidP="00490264">
            <w:pPr>
              <w:pStyle w:val="norm"/>
              <w:shd w:val="clear" w:color="auto" w:fill="FFFFFF"/>
              <w:spacing w:before="0" w:beforeAutospacing="0" w:after="0" w:afterAutospacing="0"/>
              <w:jc w:val="both"/>
              <w:rPr>
                <w:sz w:val="20"/>
                <w:szCs w:val="20"/>
                <w:lang w:val="en-US"/>
              </w:rPr>
            </w:pPr>
          </w:p>
          <w:p w14:paraId="0E3393B0" w14:textId="77777777" w:rsidR="00490264" w:rsidRDefault="00490264" w:rsidP="00490264">
            <w:pPr>
              <w:pStyle w:val="norm"/>
              <w:shd w:val="clear" w:color="auto" w:fill="FFFFFF"/>
              <w:spacing w:before="0" w:beforeAutospacing="0" w:after="0" w:afterAutospacing="0"/>
              <w:jc w:val="both"/>
              <w:rPr>
                <w:sz w:val="20"/>
                <w:szCs w:val="20"/>
                <w:lang w:val="en-US"/>
              </w:rPr>
            </w:pPr>
          </w:p>
          <w:p w14:paraId="2B8DAD09" w14:textId="77777777" w:rsidR="00490264" w:rsidRDefault="00490264" w:rsidP="00490264">
            <w:pPr>
              <w:pStyle w:val="norm"/>
              <w:shd w:val="clear" w:color="auto" w:fill="FFFFFF"/>
              <w:spacing w:before="0" w:beforeAutospacing="0" w:after="0" w:afterAutospacing="0"/>
              <w:jc w:val="both"/>
              <w:rPr>
                <w:sz w:val="20"/>
                <w:szCs w:val="20"/>
                <w:lang w:val="en-US"/>
              </w:rPr>
            </w:pPr>
          </w:p>
          <w:p w14:paraId="66EFB4CB" w14:textId="77777777" w:rsidR="00490264" w:rsidRDefault="00490264" w:rsidP="00490264">
            <w:pPr>
              <w:pStyle w:val="norm"/>
              <w:shd w:val="clear" w:color="auto" w:fill="FFFFFF"/>
              <w:spacing w:before="0" w:beforeAutospacing="0" w:after="0" w:afterAutospacing="0"/>
              <w:jc w:val="both"/>
              <w:rPr>
                <w:sz w:val="20"/>
                <w:szCs w:val="20"/>
                <w:lang w:val="en-US"/>
              </w:rPr>
            </w:pPr>
          </w:p>
          <w:p w14:paraId="7E70974C" w14:textId="77777777" w:rsidR="00490264" w:rsidRDefault="00490264" w:rsidP="00490264">
            <w:pPr>
              <w:pStyle w:val="norm"/>
              <w:shd w:val="clear" w:color="auto" w:fill="FFFFFF"/>
              <w:spacing w:before="0" w:beforeAutospacing="0" w:after="0" w:afterAutospacing="0"/>
              <w:jc w:val="both"/>
              <w:rPr>
                <w:sz w:val="20"/>
                <w:szCs w:val="20"/>
                <w:lang w:val="en-US"/>
              </w:rPr>
            </w:pPr>
          </w:p>
          <w:p w14:paraId="1DC16429" w14:textId="77777777" w:rsidR="00490264" w:rsidRDefault="00490264" w:rsidP="00490264">
            <w:pPr>
              <w:pStyle w:val="norm"/>
              <w:shd w:val="clear" w:color="auto" w:fill="FFFFFF"/>
              <w:spacing w:before="0" w:beforeAutospacing="0" w:after="0" w:afterAutospacing="0"/>
              <w:jc w:val="both"/>
              <w:rPr>
                <w:sz w:val="20"/>
                <w:szCs w:val="20"/>
                <w:lang w:val="en-US"/>
              </w:rPr>
            </w:pPr>
          </w:p>
          <w:p w14:paraId="7F4CCC0C" w14:textId="77777777" w:rsidR="00490264" w:rsidRDefault="00490264" w:rsidP="00490264">
            <w:pPr>
              <w:pStyle w:val="norm"/>
              <w:shd w:val="clear" w:color="auto" w:fill="FFFFFF"/>
              <w:spacing w:before="0" w:beforeAutospacing="0" w:after="0" w:afterAutospacing="0"/>
              <w:jc w:val="both"/>
              <w:rPr>
                <w:sz w:val="20"/>
                <w:szCs w:val="20"/>
                <w:lang w:val="en-US"/>
              </w:rPr>
            </w:pPr>
          </w:p>
          <w:p w14:paraId="7B7650B2" w14:textId="77777777" w:rsidR="00490264" w:rsidRDefault="00490264" w:rsidP="00490264">
            <w:pPr>
              <w:pStyle w:val="norm"/>
              <w:shd w:val="clear" w:color="auto" w:fill="FFFFFF"/>
              <w:spacing w:before="0" w:beforeAutospacing="0" w:after="0" w:afterAutospacing="0"/>
              <w:jc w:val="both"/>
              <w:rPr>
                <w:sz w:val="20"/>
                <w:szCs w:val="20"/>
                <w:lang w:val="en-US"/>
              </w:rPr>
            </w:pPr>
          </w:p>
          <w:p w14:paraId="567BB227" w14:textId="77777777" w:rsidR="00490264" w:rsidRDefault="00490264" w:rsidP="00490264">
            <w:pPr>
              <w:pStyle w:val="norm"/>
              <w:shd w:val="clear" w:color="auto" w:fill="FFFFFF"/>
              <w:spacing w:before="0" w:beforeAutospacing="0" w:after="0" w:afterAutospacing="0"/>
              <w:jc w:val="both"/>
              <w:rPr>
                <w:sz w:val="20"/>
                <w:szCs w:val="20"/>
                <w:lang w:val="en-US"/>
              </w:rPr>
            </w:pPr>
          </w:p>
          <w:p w14:paraId="42058548" w14:textId="77777777" w:rsidR="00490264" w:rsidRDefault="00490264" w:rsidP="00490264">
            <w:pPr>
              <w:pStyle w:val="norm"/>
              <w:shd w:val="clear" w:color="auto" w:fill="FFFFFF"/>
              <w:spacing w:before="0" w:beforeAutospacing="0" w:after="0" w:afterAutospacing="0"/>
              <w:jc w:val="both"/>
              <w:rPr>
                <w:sz w:val="20"/>
                <w:szCs w:val="20"/>
                <w:lang w:val="en-US"/>
              </w:rPr>
            </w:pPr>
          </w:p>
          <w:p w14:paraId="1A6A81D6" w14:textId="77777777" w:rsidR="00490264" w:rsidRDefault="00490264" w:rsidP="00490264">
            <w:pPr>
              <w:pStyle w:val="norm"/>
              <w:shd w:val="clear" w:color="auto" w:fill="FFFFFF"/>
              <w:spacing w:before="0" w:beforeAutospacing="0" w:after="0" w:afterAutospacing="0"/>
              <w:jc w:val="both"/>
              <w:rPr>
                <w:sz w:val="20"/>
                <w:szCs w:val="20"/>
                <w:lang w:val="en-US"/>
              </w:rPr>
            </w:pPr>
          </w:p>
          <w:p w14:paraId="3F199D01" w14:textId="77777777" w:rsidR="00490264" w:rsidRDefault="00490264" w:rsidP="00490264">
            <w:pPr>
              <w:pStyle w:val="norm"/>
              <w:shd w:val="clear" w:color="auto" w:fill="FFFFFF"/>
              <w:spacing w:before="0" w:beforeAutospacing="0" w:after="0" w:afterAutospacing="0"/>
              <w:jc w:val="both"/>
              <w:rPr>
                <w:sz w:val="20"/>
                <w:szCs w:val="20"/>
                <w:lang w:val="en-US"/>
              </w:rPr>
            </w:pPr>
          </w:p>
          <w:p w14:paraId="74F54B80" w14:textId="77777777" w:rsidR="00490264" w:rsidRDefault="00490264" w:rsidP="00490264">
            <w:pPr>
              <w:pStyle w:val="norm"/>
              <w:shd w:val="clear" w:color="auto" w:fill="FFFFFF"/>
              <w:spacing w:before="0" w:beforeAutospacing="0" w:after="0" w:afterAutospacing="0"/>
              <w:jc w:val="both"/>
              <w:rPr>
                <w:sz w:val="20"/>
                <w:szCs w:val="20"/>
                <w:lang w:val="en-US"/>
              </w:rPr>
            </w:pPr>
          </w:p>
          <w:p w14:paraId="1E13AA9B" w14:textId="77777777" w:rsidR="00490264" w:rsidRDefault="00490264" w:rsidP="00490264">
            <w:pPr>
              <w:pStyle w:val="norm"/>
              <w:shd w:val="clear" w:color="auto" w:fill="FFFFFF"/>
              <w:spacing w:before="0" w:beforeAutospacing="0" w:after="0" w:afterAutospacing="0"/>
              <w:jc w:val="both"/>
              <w:rPr>
                <w:sz w:val="20"/>
                <w:szCs w:val="20"/>
                <w:lang w:val="en-US"/>
              </w:rPr>
            </w:pPr>
          </w:p>
          <w:p w14:paraId="4774CB5F" w14:textId="77777777" w:rsidR="00490264" w:rsidRDefault="00490264" w:rsidP="00490264">
            <w:pPr>
              <w:pStyle w:val="norm"/>
              <w:shd w:val="clear" w:color="auto" w:fill="FFFFFF"/>
              <w:spacing w:before="0" w:beforeAutospacing="0" w:after="0" w:afterAutospacing="0"/>
              <w:jc w:val="both"/>
              <w:rPr>
                <w:sz w:val="20"/>
                <w:szCs w:val="20"/>
                <w:lang w:val="en-US"/>
              </w:rPr>
            </w:pPr>
          </w:p>
          <w:p w14:paraId="408E88F9" w14:textId="77777777" w:rsidR="00490264" w:rsidRDefault="00490264" w:rsidP="00490264">
            <w:pPr>
              <w:pStyle w:val="norm"/>
              <w:shd w:val="clear" w:color="auto" w:fill="FFFFFF"/>
              <w:spacing w:before="0" w:beforeAutospacing="0" w:after="0" w:afterAutospacing="0"/>
              <w:jc w:val="both"/>
              <w:rPr>
                <w:sz w:val="20"/>
                <w:szCs w:val="20"/>
                <w:lang w:val="en-US"/>
              </w:rPr>
            </w:pPr>
          </w:p>
          <w:p w14:paraId="5259AE36" w14:textId="77777777" w:rsidR="00490264" w:rsidRDefault="00490264" w:rsidP="00490264">
            <w:pPr>
              <w:pStyle w:val="norm"/>
              <w:shd w:val="clear" w:color="auto" w:fill="FFFFFF"/>
              <w:spacing w:before="0" w:beforeAutospacing="0" w:after="0" w:afterAutospacing="0"/>
              <w:jc w:val="both"/>
              <w:rPr>
                <w:sz w:val="20"/>
                <w:szCs w:val="20"/>
                <w:lang w:val="en-US"/>
              </w:rPr>
            </w:pPr>
          </w:p>
          <w:p w14:paraId="3C45D1DA" w14:textId="77777777" w:rsidR="00490264" w:rsidRDefault="00490264" w:rsidP="00490264">
            <w:pPr>
              <w:pStyle w:val="norm"/>
              <w:shd w:val="clear" w:color="auto" w:fill="FFFFFF"/>
              <w:spacing w:before="0" w:beforeAutospacing="0" w:after="0" w:afterAutospacing="0"/>
              <w:jc w:val="both"/>
              <w:rPr>
                <w:sz w:val="20"/>
                <w:szCs w:val="20"/>
                <w:lang w:val="en-US"/>
              </w:rPr>
            </w:pPr>
          </w:p>
          <w:p w14:paraId="06AAB505" w14:textId="77777777" w:rsidR="00490264" w:rsidRDefault="00490264" w:rsidP="00490264">
            <w:pPr>
              <w:pStyle w:val="norm"/>
              <w:shd w:val="clear" w:color="auto" w:fill="FFFFFF"/>
              <w:spacing w:before="0" w:beforeAutospacing="0" w:after="0" w:afterAutospacing="0"/>
              <w:jc w:val="both"/>
              <w:rPr>
                <w:sz w:val="20"/>
                <w:szCs w:val="20"/>
                <w:lang w:val="en-US"/>
              </w:rPr>
            </w:pPr>
          </w:p>
          <w:p w14:paraId="3A93CB7E" w14:textId="77777777" w:rsidR="00490264" w:rsidRDefault="00490264" w:rsidP="00490264">
            <w:pPr>
              <w:pStyle w:val="norm"/>
              <w:shd w:val="clear" w:color="auto" w:fill="FFFFFF"/>
              <w:spacing w:before="0" w:beforeAutospacing="0" w:after="0" w:afterAutospacing="0"/>
              <w:jc w:val="both"/>
              <w:rPr>
                <w:sz w:val="20"/>
                <w:szCs w:val="20"/>
                <w:lang w:val="en-US"/>
              </w:rPr>
            </w:pPr>
          </w:p>
          <w:p w14:paraId="37E1528A" w14:textId="77777777" w:rsidR="00490264" w:rsidRDefault="00490264" w:rsidP="00490264">
            <w:pPr>
              <w:pStyle w:val="norm"/>
              <w:shd w:val="clear" w:color="auto" w:fill="FFFFFF"/>
              <w:spacing w:before="0" w:beforeAutospacing="0" w:after="0" w:afterAutospacing="0"/>
              <w:jc w:val="both"/>
              <w:rPr>
                <w:sz w:val="20"/>
                <w:szCs w:val="20"/>
                <w:lang w:val="en-US"/>
              </w:rPr>
            </w:pPr>
          </w:p>
          <w:p w14:paraId="584ACA37" w14:textId="77777777" w:rsidR="00490264" w:rsidRDefault="00490264" w:rsidP="00490264">
            <w:pPr>
              <w:pStyle w:val="norm"/>
              <w:shd w:val="clear" w:color="auto" w:fill="FFFFFF"/>
              <w:spacing w:before="0" w:beforeAutospacing="0" w:after="0" w:afterAutospacing="0"/>
              <w:jc w:val="both"/>
              <w:rPr>
                <w:sz w:val="20"/>
                <w:szCs w:val="20"/>
                <w:lang w:val="en-US"/>
              </w:rPr>
            </w:pPr>
          </w:p>
          <w:p w14:paraId="5290452B" w14:textId="77777777" w:rsidR="00490264" w:rsidRDefault="00490264" w:rsidP="00490264">
            <w:pPr>
              <w:pStyle w:val="norm"/>
              <w:shd w:val="clear" w:color="auto" w:fill="FFFFFF"/>
              <w:spacing w:before="0" w:beforeAutospacing="0" w:after="0" w:afterAutospacing="0"/>
              <w:jc w:val="both"/>
              <w:rPr>
                <w:sz w:val="20"/>
                <w:szCs w:val="20"/>
                <w:lang w:val="en-US"/>
              </w:rPr>
            </w:pPr>
          </w:p>
          <w:p w14:paraId="204EA2F9" w14:textId="77777777" w:rsidR="00490264" w:rsidRDefault="00490264" w:rsidP="00490264">
            <w:pPr>
              <w:pStyle w:val="norm"/>
              <w:shd w:val="clear" w:color="auto" w:fill="FFFFFF"/>
              <w:spacing w:before="0" w:beforeAutospacing="0" w:after="0" w:afterAutospacing="0"/>
              <w:jc w:val="both"/>
              <w:rPr>
                <w:sz w:val="20"/>
                <w:szCs w:val="20"/>
                <w:lang w:val="en-US"/>
              </w:rPr>
            </w:pPr>
          </w:p>
          <w:p w14:paraId="325E68E9" w14:textId="77777777" w:rsidR="00490264" w:rsidRDefault="00490264" w:rsidP="00490264">
            <w:pPr>
              <w:pStyle w:val="norm"/>
              <w:shd w:val="clear" w:color="auto" w:fill="FFFFFF"/>
              <w:spacing w:before="0" w:beforeAutospacing="0" w:after="0" w:afterAutospacing="0"/>
              <w:jc w:val="both"/>
              <w:rPr>
                <w:sz w:val="20"/>
                <w:szCs w:val="20"/>
                <w:lang w:val="en-US"/>
              </w:rPr>
            </w:pPr>
          </w:p>
          <w:p w14:paraId="688D8D52" w14:textId="77777777" w:rsidR="00490264" w:rsidRDefault="00490264" w:rsidP="00490264">
            <w:pPr>
              <w:pStyle w:val="norm"/>
              <w:shd w:val="clear" w:color="auto" w:fill="FFFFFF"/>
              <w:spacing w:before="0" w:beforeAutospacing="0" w:after="0" w:afterAutospacing="0"/>
              <w:jc w:val="both"/>
              <w:rPr>
                <w:sz w:val="20"/>
                <w:szCs w:val="20"/>
                <w:lang w:val="en-US"/>
              </w:rPr>
            </w:pPr>
          </w:p>
          <w:p w14:paraId="7E4A2964" w14:textId="77777777" w:rsidR="00490264" w:rsidRDefault="00490264" w:rsidP="00490264">
            <w:pPr>
              <w:pStyle w:val="norm"/>
              <w:shd w:val="clear" w:color="auto" w:fill="FFFFFF"/>
              <w:spacing w:before="0" w:beforeAutospacing="0" w:after="0" w:afterAutospacing="0"/>
              <w:jc w:val="both"/>
              <w:rPr>
                <w:sz w:val="20"/>
                <w:szCs w:val="20"/>
                <w:lang w:val="en-US"/>
              </w:rPr>
            </w:pPr>
          </w:p>
          <w:p w14:paraId="1C1EA58D" w14:textId="77777777" w:rsidR="00490264" w:rsidRDefault="00490264" w:rsidP="00490264">
            <w:pPr>
              <w:pStyle w:val="norm"/>
              <w:shd w:val="clear" w:color="auto" w:fill="FFFFFF"/>
              <w:spacing w:before="0" w:beforeAutospacing="0" w:after="0" w:afterAutospacing="0"/>
              <w:jc w:val="both"/>
              <w:rPr>
                <w:sz w:val="20"/>
                <w:szCs w:val="20"/>
                <w:lang w:val="en-US"/>
              </w:rPr>
            </w:pPr>
          </w:p>
          <w:p w14:paraId="4CE0DDA5" w14:textId="77777777" w:rsidR="00490264" w:rsidRDefault="00490264" w:rsidP="00490264">
            <w:pPr>
              <w:pStyle w:val="norm"/>
              <w:shd w:val="clear" w:color="auto" w:fill="FFFFFF"/>
              <w:spacing w:before="0" w:beforeAutospacing="0" w:after="0" w:afterAutospacing="0"/>
              <w:jc w:val="both"/>
              <w:rPr>
                <w:sz w:val="20"/>
                <w:szCs w:val="20"/>
                <w:lang w:val="en-US"/>
              </w:rPr>
            </w:pPr>
          </w:p>
          <w:p w14:paraId="4E6535CF" w14:textId="77777777" w:rsidR="00490264" w:rsidRDefault="00490264" w:rsidP="00490264">
            <w:pPr>
              <w:pStyle w:val="norm"/>
              <w:shd w:val="clear" w:color="auto" w:fill="FFFFFF"/>
              <w:spacing w:before="0" w:beforeAutospacing="0" w:after="0" w:afterAutospacing="0"/>
              <w:jc w:val="both"/>
              <w:rPr>
                <w:sz w:val="20"/>
                <w:szCs w:val="20"/>
                <w:lang w:val="en-US"/>
              </w:rPr>
            </w:pPr>
          </w:p>
          <w:p w14:paraId="50E60C51" w14:textId="77777777" w:rsidR="00490264" w:rsidRDefault="00490264" w:rsidP="00490264">
            <w:pPr>
              <w:pStyle w:val="norm"/>
              <w:shd w:val="clear" w:color="auto" w:fill="FFFFFF"/>
              <w:spacing w:before="0" w:beforeAutospacing="0" w:after="0" w:afterAutospacing="0"/>
              <w:jc w:val="both"/>
              <w:rPr>
                <w:sz w:val="20"/>
                <w:szCs w:val="20"/>
                <w:lang w:val="en-US"/>
              </w:rPr>
            </w:pPr>
          </w:p>
          <w:p w14:paraId="79BB45C9" w14:textId="77777777" w:rsidR="00490264" w:rsidRDefault="00490264" w:rsidP="00490264">
            <w:pPr>
              <w:pStyle w:val="norm"/>
              <w:shd w:val="clear" w:color="auto" w:fill="FFFFFF"/>
              <w:spacing w:before="0" w:beforeAutospacing="0" w:after="0" w:afterAutospacing="0"/>
              <w:jc w:val="both"/>
              <w:rPr>
                <w:sz w:val="20"/>
                <w:szCs w:val="20"/>
                <w:lang w:val="en-US"/>
              </w:rPr>
            </w:pPr>
          </w:p>
          <w:p w14:paraId="2DC1B595" w14:textId="77777777" w:rsidR="00490264" w:rsidRDefault="00490264" w:rsidP="00490264">
            <w:pPr>
              <w:pStyle w:val="norm"/>
              <w:shd w:val="clear" w:color="auto" w:fill="FFFFFF"/>
              <w:spacing w:before="0" w:beforeAutospacing="0" w:after="0" w:afterAutospacing="0"/>
              <w:jc w:val="both"/>
              <w:rPr>
                <w:sz w:val="20"/>
                <w:szCs w:val="20"/>
                <w:lang w:val="en-US"/>
              </w:rPr>
            </w:pPr>
          </w:p>
          <w:p w14:paraId="26857E20" w14:textId="77777777" w:rsidR="00490264" w:rsidRDefault="00490264" w:rsidP="00490264">
            <w:pPr>
              <w:pStyle w:val="norm"/>
              <w:shd w:val="clear" w:color="auto" w:fill="FFFFFF"/>
              <w:spacing w:before="0" w:beforeAutospacing="0" w:after="0" w:afterAutospacing="0"/>
              <w:jc w:val="both"/>
              <w:rPr>
                <w:sz w:val="20"/>
                <w:szCs w:val="20"/>
                <w:lang w:val="en-US"/>
              </w:rPr>
            </w:pPr>
          </w:p>
          <w:p w14:paraId="5CEA10C4" w14:textId="77777777" w:rsidR="00490264" w:rsidRDefault="00490264" w:rsidP="00490264">
            <w:pPr>
              <w:pStyle w:val="norm"/>
              <w:shd w:val="clear" w:color="auto" w:fill="FFFFFF"/>
              <w:spacing w:before="0" w:beforeAutospacing="0" w:after="0" w:afterAutospacing="0"/>
              <w:jc w:val="both"/>
              <w:rPr>
                <w:sz w:val="20"/>
                <w:szCs w:val="20"/>
                <w:lang w:val="en-US"/>
              </w:rPr>
            </w:pPr>
          </w:p>
          <w:p w14:paraId="6F82FBE4" w14:textId="77777777" w:rsidR="00490264" w:rsidRDefault="00490264" w:rsidP="00490264">
            <w:pPr>
              <w:pStyle w:val="norm"/>
              <w:shd w:val="clear" w:color="auto" w:fill="FFFFFF"/>
              <w:spacing w:before="0" w:beforeAutospacing="0" w:after="0" w:afterAutospacing="0"/>
              <w:jc w:val="both"/>
              <w:rPr>
                <w:sz w:val="20"/>
                <w:szCs w:val="20"/>
                <w:lang w:val="en-US"/>
              </w:rPr>
            </w:pPr>
          </w:p>
          <w:p w14:paraId="7DF2E21A" w14:textId="77777777" w:rsidR="00490264" w:rsidRDefault="00490264" w:rsidP="00490264">
            <w:pPr>
              <w:pStyle w:val="norm"/>
              <w:shd w:val="clear" w:color="auto" w:fill="FFFFFF"/>
              <w:spacing w:before="0" w:beforeAutospacing="0" w:after="0" w:afterAutospacing="0"/>
              <w:jc w:val="both"/>
              <w:rPr>
                <w:sz w:val="20"/>
                <w:szCs w:val="20"/>
                <w:lang w:val="en-US"/>
              </w:rPr>
            </w:pPr>
          </w:p>
          <w:p w14:paraId="46586384" w14:textId="77777777" w:rsidR="00490264" w:rsidRDefault="00490264" w:rsidP="00490264">
            <w:pPr>
              <w:pStyle w:val="norm"/>
              <w:shd w:val="clear" w:color="auto" w:fill="FFFFFF"/>
              <w:spacing w:before="0" w:beforeAutospacing="0" w:after="0" w:afterAutospacing="0"/>
              <w:jc w:val="both"/>
              <w:rPr>
                <w:sz w:val="20"/>
                <w:szCs w:val="20"/>
                <w:lang w:val="en-US"/>
              </w:rPr>
            </w:pPr>
          </w:p>
          <w:p w14:paraId="2A343538" w14:textId="77777777" w:rsidR="00490264" w:rsidRDefault="00490264" w:rsidP="00490264">
            <w:pPr>
              <w:pStyle w:val="norm"/>
              <w:shd w:val="clear" w:color="auto" w:fill="FFFFFF"/>
              <w:spacing w:before="0" w:beforeAutospacing="0" w:after="0" w:afterAutospacing="0"/>
              <w:jc w:val="both"/>
              <w:rPr>
                <w:sz w:val="20"/>
                <w:szCs w:val="20"/>
                <w:lang w:val="en-US"/>
              </w:rPr>
            </w:pPr>
          </w:p>
          <w:p w14:paraId="4DBFD20E" w14:textId="77777777" w:rsidR="00490264" w:rsidRDefault="00490264" w:rsidP="00490264">
            <w:pPr>
              <w:pStyle w:val="norm"/>
              <w:shd w:val="clear" w:color="auto" w:fill="FFFFFF"/>
              <w:spacing w:before="0" w:beforeAutospacing="0" w:after="0" w:afterAutospacing="0"/>
              <w:jc w:val="both"/>
              <w:rPr>
                <w:sz w:val="20"/>
                <w:szCs w:val="20"/>
                <w:lang w:val="en-US"/>
              </w:rPr>
            </w:pPr>
          </w:p>
          <w:p w14:paraId="7DE590A3" w14:textId="77777777" w:rsidR="00490264" w:rsidRDefault="00490264" w:rsidP="00490264">
            <w:pPr>
              <w:pStyle w:val="norm"/>
              <w:shd w:val="clear" w:color="auto" w:fill="FFFFFF"/>
              <w:spacing w:before="0" w:beforeAutospacing="0" w:after="0" w:afterAutospacing="0"/>
              <w:jc w:val="both"/>
              <w:rPr>
                <w:sz w:val="20"/>
                <w:szCs w:val="20"/>
                <w:lang w:val="en-US"/>
              </w:rPr>
            </w:pPr>
          </w:p>
          <w:p w14:paraId="4C688CE9" w14:textId="77777777" w:rsidR="00490264" w:rsidRDefault="00490264" w:rsidP="00490264">
            <w:pPr>
              <w:pStyle w:val="norm"/>
              <w:shd w:val="clear" w:color="auto" w:fill="FFFFFF"/>
              <w:spacing w:before="0" w:beforeAutospacing="0" w:after="0" w:afterAutospacing="0"/>
              <w:jc w:val="both"/>
              <w:rPr>
                <w:sz w:val="20"/>
                <w:szCs w:val="20"/>
                <w:lang w:val="en-US"/>
              </w:rPr>
            </w:pPr>
          </w:p>
          <w:p w14:paraId="351D3A0C" w14:textId="77777777" w:rsidR="00490264" w:rsidRDefault="00490264" w:rsidP="00490264">
            <w:pPr>
              <w:pStyle w:val="norm"/>
              <w:shd w:val="clear" w:color="auto" w:fill="FFFFFF"/>
              <w:spacing w:before="0" w:beforeAutospacing="0" w:after="0" w:afterAutospacing="0"/>
              <w:jc w:val="both"/>
              <w:rPr>
                <w:sz w:val="20"/>
                <w:szCs w:val="20"/>
                <w:lang w:val="en-US"/>
              </w:rPr>
            </w:pPr>
          </w:p>
          <w:p w14:paraId="26B5F1E5" w14:textId="77777777" w:rsidR="00490264" w:rsidRDefault="00490264" w:rsidP="00490264">
            <w:pPr>
              <w:pStyle w:val="norm"/>
              <w:shd w:val="clear" w:color="auto" w:fill="FFFFFF"/>
              <w:spacing w:before="0" w:beforeAutospacing="0" w:after="0" w:afterAutospacing="0"/>
              <w:jc w:val="both"/>
              <w:rPr>
                <w:sz w:val="20"/>
                <w:szCs w:val="20"/>
                <w:lang w:val="en-US"/>
              </w:rPr>
            </w:pPr>
          </w:p>
          <w:p w14:paraId="004334A3" w14:textId="77777777" w:rsidR="00490264" w:rsidRDefault="00490264" w:rsidP="00490264">
            <w:pPr>
              <w:pStyle w:val="norm"/>
              <w:shd w:val="clear" w:color="auto" w:fill="FFFFFF"/>
              <w:spacing w:before="0" w:beforeAutospacing="0" w:after="0" w:afterAutospacing="0"/>
              <w:jc w:val="both"/>
              <w:rPr>
                <w:sz w:val="20"/>
                <w:szCs w:val="20"/>
                <w:lang w:val="en-US"/>
              </w:rPr>
            </w:pPr>
          </w:p>
          <w:p w14:paraId="185DCE0C" w14:textId="77777777" w:rsidR="00490264" w:rsidRDefault="00490264" w:rsidP="00490264">
            <w:pPr>
              <w:pStyle w:val="norm"/>
              <w:shd w:val="clear" w:color="auto" w:fill="FFFFFF"/>
              <w:spacing w:before="0" w:beforeAutospacing="0" w:after="0" w:afterAutospacing="0"/>
              <w:jc w:val="both"/>
              <w:rPr>
                <w:sz w:val="20"/>
                <w:szCs w:val="20"/>
                <w:lang w:val="en-US"/>
              </w:rPr>
            </w:pPr>
          </w:p>
          <w:p w14:paraId="2B807EFC" w14:textId="77777777" w:rsidR="00490264" w:rsidRDefault="00490264" w:rsidP="00490264">
            <w:pPr>
              <w:pStyle w:val="norm"/>
              <w:shd w:val="clear" w:color="auto" w:fill="FFFFFF"/>
              <w:spacing w:before="0" w:beforeAutospacing="0" w:after="0" w:afterAutospacing="0"/>
              <w:jc w:val="both"/>
              <w:rPr>
                <w:sz w:val="20"/>
                <w:szCs w:val="20"/>
                <w:lang w:val="en-US"/>
              </w:rPr>
            </w:pPr>
          </w:p>
          <w:p w14:paraId="03B3414D" w14:textId="77777777" w:rsidR="00490264" w:rsidRDefault="00490264" w:rsidP="00490264">
            <w:pPr>
              <w:pStyle w:val="norm"/>
              <w:shd w:val="clear" w:color="auto" w:fill="FFFFFF"/>
              <w:spacing w:before="0" w:beforeAutospacing="0" w:after="0" w:afterAutospacing="0"/>
              <w:jc w:val="both"/>
              <w:rPr>
                <w:sz w:val="20"/>
                <w:szCs w:val="20"/>
                <w:lang w:val="en-US"/>
              </w:rPr>
            </w:pPr>
          </w:p>
          <w:p w14:paraId="486D8E31" w14:textId="77777777" w:rsidR="00490264" w:rsidRDefault="00490264" w:rsidP="00490264">
            <w:pPr>
              <w:pStyle w:val="norm"/>
              <w:shd w:val="clear" w:color="auto" w:fill="FFFFFF"/>
              <w:spacing w:before="0" w:beforeAutospacing="0" w:after="0" w:afterAutospacing="0"/>
              <w:jc w:val="both"/>
              <w:rPr>
                <w:sz w:val="20"/>
                <w:szCs w:val="20"/>
                <w:lang w:val="en-US"/>
              </w:rPr>
            </w:pPr>
          </w:p>
          <w:p w14:paraId="23F4A0BC" w14:textId="77777777" w:rsidR="00490264" w:rsidRDefault="00490264" w:rsidP="00490264">
            <w:pPr>
              <w:pStyle w:val="norm"/>
              <w:shd w:val="clear" w:color="auto" w:fill="FFFFFF"/>
              <w:spacing w:before="0" w:beforeAutospacing="0" w:after="0" w:afterAutospacing="0"/>
              <w:jc w:val="both"/>
              <w:rPr>
                <w:sz w:val="20"/>
                <w:szCs w:val="20"/>
                <w:lang w:val="en-US"/>
              </w:rPr>
            </w:pPr>
          </w:p>
          <w:p w14:paraId="3FDEDA23" w14:textId="77777777" w:rsidR="00490264" w:rsidRDefault="00490264" w:rsidP="00490264">
            <w:pPr>
              <w:pStyle w:val="norm"/>
              <w:shd w:val="clear" w:color="auto" w:fill="FFFFFF"/>
              <w:spacing w:before="0" w:beforeAutospacing="0" w:after="0" w:afterAutospacing="0"/>
              <w:jc w:val="both"/>
              <w:rPr>
                <w:sz w:val="20"/>
                <w:szCs w:val="20"/>
                <w:lang w:val="en-US"/>
              </w:rPr>
            </w:pPr>
          </w:p>
          <w:p w14:paraId="70FC949A" w14:textId="77777777" w:rsidR="00490264" w:rsidRDefault="00490264" w:rsidP="00490264">
            <w:pPr>
              <w:pStyle w:val="norm"/>
              <w:shd w:val="clear" w:color="auto" w:fill="FFFFFF"/>
              <w:spacing w:before="0" w:beforeAutospacing="0" w:after="0" w:afterAutospacing="0"/>
              <w:jc w:val="both"/>
              <w:rPr>
                <w:sz w:val="20"/>
                <w:szCs w:val="20"/>
                <w:lang w:val="en-US"/>
              </w:rPr>
            </w:pPr>
          </w:p>
          <w:p w14:paraId="6DF938B4" w14:textId="77777777" w:rsidR="00490264" w:rsidRDefault="00490264" w:rsidP="00490264">
            <w:pPr>
              <w:pStyle w:val="norm"/>
              <w:shd w:val="clear" w:color="auto" w:fill="FFFFFF"/>
              <w:spacing w:before="0" w:beforeAutospacing="0" w:after="0" w:afterAutospacing="0"/>
              <w:jc w:val="both"/>
              <w:rPr>
                <w:sz w:val="20"/>
                <w:szCs w:val="20"/>
                <w:lang w:val="en-US"/>
              </w:rPr>
            </w:pPr>
          </w:p>
          <w:p w14:paraId="058772B3" w14:textId="77777777" w:rsidR="00490264" w:rsidRDefault="00490264" w:rsidP="00490264">
            <w:pPr>
              <w:pStyle w:val="norm"/>
              <w:shd w:val="clear" w:color="auto" w:fill="FFFFFF"/>
              <w:spacing w:before="0" w:beforeAutospacing="0" w:after="0" w:afterAutospacing="0"/>
              <w:jc w:val="both"/>
              <w:rPr>
                <w:sz w:val="20"/>
                <w:szCs w:val="20"/>
                <w:lang w:val="en-US"/>
              </w:rPr>
            </w:pPr>
          </w:p>
          <w:p w14:paraId="38B78F7F" w14:textId="77777777" w:rsidR="00490264" w:rsidRDefault="00490264" w:rsidP="00490264">
            <w:pPr>
              <w:pStyle w:val="norm"/>
              <w:shd w:val="clear" w:color="auto" w:fill="FFFFFF"/>
              <w:spacing w:before="0" w:beforeAutospacing="0" w:after="0" w:afterAutospacing="0"/>
              <w:jc w:val="both"/>
              <w:rPr>
                <w:sz w:val="20"/>
                <w:szCs w:val="20"/>
                <w:lang w:val="en-US"/>
              </w:rPr>
            </w:pPr>
          </w:p>
          <w:p w14:paraId="6D443EFC" w14:textId="77777777" w:rsidR="00490264" w:rsidRDefault="00490264" w:rsidP="00490264">
            <w:pPr>
              <w:pStyle w:val="norm"/>
              <w:shd w:val="clear" w:color="auto" w:fill="FFFFFF"/>
              <w:spacing w:before="0" w:beforeAutospacing="0" w:after="0" w:afterAutospacing="0"/>
              <w:jc w:val="both"/>
              <w:rPr>
                <w:sz w:val="20"/>
                <w:szCs w:val="20"/>
                <w:lang w:val="en-US"/>
              </w:rPr>
            </w:pPr>
          </w:p>
          <w:p w14:paraId="702CC76E" w14:textId="77777777" w:rsidR="00490264" w:rsidRDefault="00490264" w:rsidP="00490264">
            <w:pPr>
              <w:pStyle w:val="norm"/>
              <w:shd w:val="clear" w:color="auto" w:fill="FFFFFF"/>
              <w:spacing w:before="0" w:beforeAutospacing="0" w:after="0" w:afterAutospacing="0"/>
              <w:jc w:val="both"/>
              <w:rPr>
                <w:sz w:val="20"/>
                <w:szCs w:val="20"/>
                <w:lang w:val="en-US"/>
              </w:rPr>
            </w:pPr>
          </w:p>
          <w:p w14:paraId="6F52F2DE" w14:textId="77777777" w:rsidR="00490264" w:rsidRDefault="00490264" w:rsidP="00490264">
            <w:pPr>
              <w:pStyle w:val="norm"/>
              <w:shd w:val="clear" w:color="auto" w:fill="FFFFFF"/>
              <w:spacing w:before="0" w:beforeAutospacing="0" w:after="0" w:afterAutospacing="0"/>
              <w:jc w:val="both"/>
              <w:rPr>
                <w:sz w:val="20"/>
                <w:szCs w:val="20"/>
                <w:lang w:val="en-US"/>
              </w:rPr>
            </w:pPr>
          </w:p>
          <w:p w14:paraId="073B13D2" w14:textId="77777777" w:rsidR="00490264" w:rsidRDefault="00490264" w:rsidP="00490264">
            <w:pPr>
              <w:pStyle w:val="norm"/>
              <w:shd w:val="clear" w:color="auto" w:fill="FFFFFF"/>
              <w:spacing w:before="0" w:beforeAutospacing="0" w:after="0" w:afterAutospacing="0"/>
              <w:jc w:val="both"/>
              <w:rPr>
                <w:sz w:val="20"/>
                <w:szCs w:val="20"/>
                <w:lang w:val="en-US"/>
              </w:rPr>
            </w:pPr>
          </w:p>
          <w:p w14:paraId="01E0C548" w14:textId="77777777" w:rsidR="00490264" w:rsidRDefault="00490264" w:rsidP="00490264">
            <w:pPr>
              <w:pStyle w:val="norm"/>
              <w:shd w:val="clear" w:color="auto" w:fill="FFFFFF"/>
              <w:spacing w:before="0" w:beforeAutospacing="0" w:after="0" w:afterAutospacing="0"/>
              <w:jc w:val="both"/>
              <w:rPr>
                <w:sz w:val="20"/>
                <w:szCs w:val="20"/>
                <w:lang w:val="en-US"/>
              </w:rPr>
            </w:pPr>
          </w:p>
          <w:p w14:paraId="556F16CA" w14:textId="77777777" w:rsidR="00490264" w:rsidRDefault="00490264" w:rsidP="00490264">
            <w:pPr>
              <w:pStyle w:val="norm"/>
              <w:shd w:val="clear" w:color="auto" w:fill="FFFFFF"/>
              <w:spacing w:before="0" w:beforeAutospacing="0" w:after="0" w:afterAutospacing="0"/>
              <w:jc w:val="both"/>
              <w:rPr>
                <w:sz w:val="20"/>
                <w:szCs w:val="20"/>
                <w:lang w:val="en-US"/>
              </w:rPr>
            </w:pPr>
          </w:p>
          <w:p w14:paraId="624CEFCA" w14:textId="77777777" w:rsidR="00490264" w:rsidRDefault="00490264" w:rsidP="00490264">
            <w:pPr>
              <w:pStyle w:val="norm"/>
              <w:shd w:val="clear" w:color="auto" w:fill="FFFFFF"/>
              <w:spacing w:before="0" w:beforeAutospacing="0" w:after="0" w:afterAutospacing="0"/>
              <w:jc w:val="both"/>
              <w:rPr>
                <w:sz w:val="20"/>
                <w:szCs w:val="20"/>
                <w:lang w:val="en-US"/>
              </w:rPr>
            </w:pPr>
          </w:p>
          <w:p w14:paraId="2E8A2B7B" w14:textId="77777777" w:rsidR="00490264" w:rsidRDefault="00490264" w:rsidP="00490264">
            <w:pPr>
              <w:pStyle w:val="norm"/>
              <w:shd w:val="clear" w:color="auto" w:fill="FFFFFF"/>
              <w:spacing w:before="0" w:beforeAutospacing="0" w:after="0" w:afterAutospacing="0"/>
              <w:jc w:val="both"/>
              <w:rPr>
                <w:sz w:val="20"/>
                <w:szCs w:val="20"/>
                <w:lang w:val="en-US"/>
              </w:rPr>
            </w:pPr>
          </w:p>
          <w:p w14:paraId="395DA8E4" w14:textId="77777777" w:rsidR="00490264" w:rsidRDefault="00490264" w:rsidP="00490264">
            <w:pPr>
              <w:pStyle w:val="norm"/>
              <w:shd w:val="clear" w:color="auto" w:fill="FFFFFF"/>
              <w:spacing w:before="0" w:beforeAutospacing="0" w:after="0" w:afterAutospacing="0"/>
              <w:jc w:val="both"/>
              <w:rPr>
                <w:sz w:val="20"/>
                <w:szCs w:val="20"/>
                <w:lang w:val="en-US"/>
              </w:rPr>
            </w:pPr>
          </w:p>
          <w:p w14:paraId="7ABD6C50" w14:textId="77777777" w:rsidR="00490264" w:rsidRDefault="00490264" w:rsidP="00490264">
            <w:pPr>
              <w:pStyle w:val="norm"/>
              <w:shd w:val="clear" w:color="auto" w:fill="FFFFFF"/>
              <w:spacing w:before="0" w:beforeAutospacing="0" w:after="0" w:afterAutospacing="0"/>
              <w:jc w:val="both"/>
              <w:rPr>
                <w:sz w:val="20"/>
                <w:szCs w:val="20"/>
                <w:lang w:val="en-US"/>
              </w:rPr>
            </w:pPr>
          </w:p>
          <w:p w14:paraId="70632329" w14:textId="77777777" w:rsidR="00490264" w:rsidRDefault="00490264" w:rsidP="00490264">
            <w:pPr>
              <w:pStyle w:val="norm"/>
              <w:shd w:val="clear" w:color="auto" w:fill="FFFFFF"/>
              <w:spacing w:before="0" w:beforeAutospacing="0" w:after="0" w:afterAutospacing="0"/>
              <w:jc w:val="both"/>
              <w:rPr>
                <w:sz w:val="20"/>
                <w:szCs w:val="20"/>
                <w:lang w:val="en-US"/>
              </w:rPr>
            </w:pPr>
          </w:p>
          <w:p w14:paraId="5130FF48" w14:textId="77777777" w:rsidR="00490264" w:rsidRDefault="00490264" w:rsidP="00490264">
            <w:pPr>
              <w:pStyle w:val="norm"/>
              <w:shd w:val="clear" w:color="auto" w:fill="FFFFFF"/>
              <w:spacing w:before="0" w:beforeAutospacing="0" w:after="0" w:afterAutospacing="0"/>
              <w:jc w:val="both"/>
              <w:rPr>
                <w:sz w:val="20"/>
                <w:szCs w:val="20"/>
                <w:lang w:val="en-US"/>
              </w:rPr>
            </w:pPr>
          </w:p>
          <w:p w14:paraId="259069F4" w14:textId="77777777" w:rsidR="00490264" w:rsidRDefault="00490264" w:rsidP="00490264">
            <w:pPr>
              <w:pStyle w:val="norm"/>
              <w:shd w:val="clear" w:color="auto" w:fill="FFFFFF"/>
              <w:spacing w:before="0" w:beforeAutospacing="0" w:after="0" w:afterAutospacing="0"/>
              <w:jc w:val="both"/>
              <w:rPr>
                <w:sz w:val="20"/>
                <w:szCs w:val="20"/>
                <w:lang w:val="en-US"/>
              </w:rPr>
            </w:pPr>
          </w:p>
          <w:p w14:paraId="3FC84C21" w14:textId="77777777" w:rsidR="00490264" w:rsidRDefault="00490264" w:rsidP="00490264">
            <w:pPr>
              <w:pStyle w:val="norm"/>
              <w:shd w:val="clear" w:color="auto" w:fill="FFFFFF"/>
              <w:spacing w:before="0" w:beforeAutospacing="0" w:after="0" w:afterAutospacing="0"/>
              <w:jc w:val="both"/>
              <w:rPr>
                <w:sz w:val="20"/>
                <w:szCs w:val="20"/>
                <w:lang w:val="en-US"/>
              </w:rPr>
            </w:pPr>
          </w:p>
          <w:p w14:paraId="3DFC97FD" w14:textId="77777777" w:rsidR="00490264" w:rsidRDefault="00490264" w:rsidP="00490264">
            <w:pPr>
              <w:pStyle w:val="norm"/>
              <w:shd w:val="clear" w:color="auto" w:fill="FFFFFF"/>
              <w:spacing w:before="0" w:beforeAutospacing="0" w:after="0" w:afterAutospacing="0"/>
              <w:jc w:val="both"/>
              <w:rPr>
                <w:sz w:val="20"/>
                <w:szCs w:val="20"/>
                <w:lang w:val="en-US"/>
              </w:rPr>
            </w:pPr>
          </w:p>
          <w:p w14:paraId="54F578F3" w14:textId="77777777" w:rsidR="00490264" w:rsidRDefault="00490264" w:rsidP="00490264">
            <w:pPr>
              <w:pStyle w:val="norm"/>
              <w:shd w:val="clear" w:color="auto" w:fill="FFFFFF"/>
              <w:spacing w:before="0" w:beforeAutospacing="0" w:after="0" w:afterAutospacing="0"/>
              <w:jc w:val="both"/>
              <w:rPr>
                <w:sz w:val="20"/>
                <w:szCs w:val="20"/>
                <w:lang w:val="en-US"/>
              </w:rPr>
            </w:pPr>
          </w:p>
          <w:p w14:paraId="45535AB0" w14:textId="77777777" w:rsidR="00490264" w:rsidRDefault="00490264" w:rsidP="00490264">
            <w:pPr>
              <w:pStyle w:val="norm"/>
              <w:shd w:val="clear" w:color="auto" w:fill="FFFFFF"/>
              <w:spacing w:before="0" w:beforeAutospacing="0" w:after="0" w:afterAutospacing="0"/>
              <w:jc w:val="both"/>
              <w:rPr>
                <w:sz w:val="20"/>
                <w:szCs w:val="20"/>
                <w:lang w:val="en-US"/>
              </w:rPr>
            </w:pPr>
          </w:p>
          <w:p w14:paraId="67DE0D4F" w14:textId="77777777" w:rsidR="00490264" w:rsidRDefault="00490264" w:rsidP="00490264">
            <w:pPr>
              <w:pStyle w:val="norm"/>
              <w:shd w:val="clear" w:color="auto" w:fill="FFFFFF"/>
              <w:spacing w:before="0" w:beforeAutospacing="0" w:after="0" w:afterAutospacing="0"/>
              <w:jc w:val="both"/>
              <w:rPr>
                <w:sz w:val="20"/>
                <w:szCs w:val="20"/>
                <w:lang w:val="en-US"/>
              </w:rPr>
            </w:pPr>
          </w:p>
          <w:p w14:paraId="50833E44" w14:textId="77777777" w:rsidR="00490264" w:rsidRDefault="00490264" w:rsidP="00490264">
            <w:pPr>
              <w:pStyle w:val="norm"/>
              <w:shd w:val="clear" w:color="auto" w:fill="FFFFFF"/>
              <w:spacing w:before="0" w:beforeAutospacing="0" w:after="0" w:afterAutospacing="0"/>
              <w:jc w:val="both"/>
              <w:rPr>
                <w:sz w:val="20"/>
                <w:szCs w:val="20"/>
                <w:lang w:val="en-US"/>
              </w:rPr>
            </w:pPr>
          </w:p>
          <w:p w14:paraId="3BAB77B8" w14:textId="77777777" w:rsidR="00490264" w:rsidRDefault="00490264" w:rsidP="00490264">
            <w:pPr>
              <w:pStyle w:val="norm"/>
              <w:shd w:val="clear" w:color="auto" w:fill="FFFFFF"/>
              <w:spacing w:before="0" w:beforeAutospacing="0" w:after="0" w:afterAutospacing="0"/>
              <w:jc w:val="both"/>
              <w:rPr>
                <w:sz w:val="20"/>
                <w:szCs w:val="20"/>
                <w:lang w:val="en-US"/>
              </w:rPr>
            </w:pPr>
          </w:p>
          <w:p w14:paraId="33F1E3E2" w14:textId="77777777" w:rsidR="00490264" w:rsidRDefault="00490264" w:rsidP="00490264">
            <w:pPr>
              <w:pStyle w:val="norm"/>
              <w:shd w:val="clear" w:color="auto" w:fill="FFFFFF"/>
              <w:spacing w:before="0" w:beforeAutospacing="0" w:after="0" w:afterAutospacing="0"/>
              <w:jc w:val="both"/>
              <w:rPr>
                <w:sz w:val="20"/>
                <w:szCs w:val="20"/>
                <w:lang w:val="en-US"/>
              </w:rPr>
            </w:pPr>
          </w:p>
          <w:p w14:paraId="234EB6D0" w14:textId="77777777" w:rsidR="00490264" w:rsidRDefault="00490264" w:rsidP="00490264">
            <w:pPr>
              <w:pStyle w:val="norm"/>
              <w:shd w:val="clear" w:color="auto" w:fill="FFFFFF"/>
              <w:spacing w:before="0" w:beforeAutospacing="0" w:after="0" w:afterAutospacing="0"/>
              <w:jc w:val="both"/>
              <w:rPr>
                <w:sz w:val="20"/>
                <w:szCs w:val="20"/>
                <w:lang w:val="en-US"/>
              </w:rPr>
            </w:pPr>
          </w:p>
          <w:p w14:paraId="1FB2D2BC" w14:textId="77777777" w:rsidR="00490264" w:rsidRDefault="00490264" w:rsidP="00490264">
            <w:pPr>
              <w:pStyle w:val="norm"/>
              <w:shd w:val="clear" w:color="auto" w:fill="FFFFFF"/>
              <w:spacing w:before="0" w:beforeAutospacing="0" w:after="0" w:afterAutospacing="0"/>
              <w:jc w:val="both"/>
              <w:rPr>
                <w:sz w:val="20"/>
                <w:szCs w:val="20"/>
                <w:lang w:val="en-US"/>
              </w:rPr>
            </w:pPr>
          </w:p>
          <w:p w14:paraId="213ADAD8" w14:textId="77777777" w:rsidR="00490264" w:rsidRDefault="00490264" w:rsidP="00490264">
            <w:pPr>
              <w:pStyle w:val="norm"/>
              <w:shd w:val="clear" w:color="auto" w:fill="FFFFFF"/>
              <w:spacing w:before="0" w:beforeAutospacing="0" w:after="0" w:afterAutospacing="0"/>
              <w:jc w:val="both"/>
              <w:rPr>
                <w:sz w:val="20"/>
                <w:szCs w:val="20"/>
                <w:lang w:val="en-US"/>
              </w:rPr>
            </w:pPr>
          </w:p>
          <w:p w14:paraId="5E5C88A2" w14:textId="77777777" w:rsidR="00490264" w:rsidRDefault="00490264" w:rsidP="00490264">
            <w:pPr>
              <w:pStyle w:val="norm"/>
              <w:shd w:val="clear" w:color="auto" w:fill="FFFFFF"/>
              <w:spacing w:before="0" w:beforeAutospacing="0" w:after="0" w:afterAutospacing="0"/>
              <w:jc w:val="both"/>
              <w:rPr>
                <w:sz w:val="20"/>
                <w:szCs w:val="20"/>
                <w:lang w:val="en-US"/>
              </w:rPr>
            </w:pPr>
          </w:p>
          <w:p w14:paraId="5A2AB7B2" w14:textId="77777777" w:rsidR="00490264" w:rsidRDefault="00490264" w:rsidP="00490264">
            <w:pPr>
              <w:pStyle w:val="norm"/>
              <w:shd w:val="clear" w:color="auto" w:fill="FFFFFF"/>
              <w:spacing w:before="0" w:beforeAutospacing="0" w:after="0" w:afterAutospacing="0"/>
              <w:jc w:val="both"/>
              <w:rPr>
                <w:sz w:val="20"/>
                <w:szCs w:val="20"/>
                <w:lang w:val="en-US"/>
              </w:rPr>
            </w:pPr>
          </w:p>
          <w:p w14:paraId="34AB3C09" w14:textId="77777777" w:rsidR="00490264" w:rsidRDefault="00490264" w:rsidP="00490264">
            <w:pPr>
              <w:pStyle w:val="norm"/>
              <w:shd w:val="clear" w:color="auto" w:fill="FFFFFF"/>
              <w:spacing w:before="0" w:beforeAutospacing="0" w:after="0" w:afterAutospacing="0"/>
              <w:jc w:val="both"/>
              <w:rPr>
                <w:sz w:val="20"/>
                <w:szCs w:val="20"/>
                <w:lang w:val="en-US"/>
              </w:rPr>
            </w:pPr>
          </w:p>
          <w:p w14:paraId="132536E2" w14:textId="77777777" w:rsidR="00490264" w:rsidRDefault="00490264" w:rsidP="00490264">
            <w:pPr>
              <w:pStyle w:val="norm"/>
              <w:shd w:val="clear" w:color="auto" w:fill="FFFFFF"/>
              <w:spacing w:before="0" w:beforeAutospacing="0" w:after="0" w:afterAutospacing="0"/>
              <w:jc w:val="both"/>
              <w:rPr>
                <w:sz w:val="20"/>
                <w:szCs w:val="20"/>
                <w:lang w:val="en-US"/>
              </w:rPr>
            </w:pPr>
          </w:p>
          <w:p w14:paraId="316F3E01" w14:textId="77777777" w:rsidR="00490264" w:rsidRDefault="00490264" w:rsidP="00490264">
            <w:pPr>
              <w:pStyle w:val="norm"/>
              <w:shd w:val="clear" w:color="auto" w:fill="FFFFFF"/>
              <w:spacing w:before="0" w:beforeAutospacing="0" w:after="0" w:afterAutospacing="0"/>
              <w:jc w:val="both"/>
              <w:rPr>
                <w:sz w:val="20"/>
                <w:szCs w:val="20"/>
                <w:lang w:val="en-US"/>
              </w:rPr>
            </w:pPr>
          </w:p>
          <w:p w14:paraId="10024988" w14:textId="77777777" w:rsidR="00490264" w:rsidRDefault="00490264" w:rsidP="00490264">
            <w:pPr>
              <w:pStyle w:val="norm"/>
              <w:shd w:val="clear" w:color="auto" w:fill="FFFFFF"/>
              <w:spacing w:before="0" w:beforeAutospacing="0" w:after="0" w:afterAutospacing="0"/>
              <w:jc w:val="both"/>
              <w:rPr>
                <w:sz w:val="20"/>
                <w:szCs w:val="20"/>
                <w:lang w:val="en-US"/>
              </w:rPr>
            </w:pPr>
          </w:p>
          <w:p w14:paraId="1898FC3E" w14:textId="77777777" w:rsidR="00490264" w:rsidRDefault="00490264" w:rsidP="00490264">
            <w:pPr>
              <w:pStyle w:val="norm"/>
              <w:shd w:val="clear" w:color="auto" w:fill="FFFFFF"/>
              <w:spacing w:before="0" w:beforeAutospacing="0" w:after="0" w:afterAutospacing="0"/>
              <w:jc w:val="both"/>
              <w:rPr>
                <w:sz w:val="20"/>
                <w:szCs w:val="20"/>
                <w:lang w:val="en-US"/>
              </w:rPr>
            </w:pPr>
          </w:p>
          <w:p w14:paraId="7B527A65" w14:textId="77777777" w:rsidR="00490264" w:rsidRDefault="00490264" w:rsidP="00490264">
            <w:pPr>
              <w:pStyle w:val="norm"/>
              <w:shd w:val="clear" w:color="auto" w:fill="FFFFFF"/>
              <w:spacing w:before="0" w:beforeAutospacing="0" w:after="0" w:afterAutospacing="0"/>
              <w:jc w:val="both"/>
              <w:rPr>
                <w:sz w:val="20"/>
                <w:szCs w:val="20"/>
                <w:lang w:val="en-US"/>
              </w:rPr>
            </w:pPr>
          </w:p>
          <w:p w14:paraId="7EE93CA7" w14:textId="77777777" w:rsidR="00490264" w:rsidRDefault="00490264" w:rsidP="00490264">
            <w:pPr>
              <w:pStyle w:val="norm"/>
              <w:shd w:val="clear" w:color="auto" w:fill="FFFFFF"/>
              <w:spacing w:before="0" w:beforeAutospacing="0" w:after="0" w:afterAutospacing="0"/>
              <w:jc w:val="both"/>
              <w:rPr>
                <w:rFonts w:eastAsia="Arial Unicode MS"/>
                <w:color w:val="333333"/>
                <w:sz w:val="20"/>
                <w:szCs w:val="20"/>
                <w:shd w:val="clear" w:color="auto" w:fill="FFFFFF"/>
              </w:rPr>
            </w:pPr>
            <w:r w:rsidRPr="00490264">
              <w:rPr>
                <w:rFonts w:eastAsia="Arial Unicode MS"/>
                <w:color w:val="333333"/>
                <w:sz w:val="20"/>
                <w:szCs w:val="20"/>
                <w:shd w:val="clear" w:color="auto" w:fill="FFFFFF"/>
              </w:rPr>
              <w:t>cu excepția pompelor de circulație integrate în produse proiectate pentru circuitele primare ale sistemelor termosolare și pentru pompele de căldură, în cazul cărora indicele de eficiență energetică se calculează după cum urmează:</w:t>
            </w:r>
          </w:p>
          <w:p w14:paraId="66C72F49" w14:textId="77777777" w:rsidR="00274386" w:rsidRDefault="00274386" w:rsidP="00490264">
            <w:pPr>
              <w:pStyle w:val="norm"/>
              <w:shd w:val="clear" w:color="auto" w:fill="FFFFFF"/>
              <w:spacing w:before="0" w:beforeAutospacing="0" w:after="0" w:afterAutospacing="0"/>
              <w:jc w:val="both"/>
            </w:pPr>
            <w:r>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28230F8F" wp14:editId="6418AC1A">
                  <wp:extent cx="3010535" cy="443230"/>
                  <wp:effectExtent l="0" t="0" r="0" b="1270"/>
                  <wp:docPr id="1049380683"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10535" cy="443230"/>
                          </a:xfrm>
                          <a:prstGeom prst="rect">
                            <a:avLst/>
                          </a:prstGeom>
                          <a:noFill/>
                          <a:ln>
                            <a:noFill/>
                          </a:ln>
                        </pic:spPr>
                      </pic:pic>
                    </a:graphicData>
                  </a:graphic>
                </wp:inline>
              </w:drawing>
            </w:r>
            <w:r>
              <w:fldChar w:fldCharType="end"/>
            </w:r>
          </w:p>
          <w:p w14:paraId="7B8C86F6" w14:textId="77777777" w:rsidR="00274386" w:rsidRDefault="00274386" w:rsidP="00274386">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274386">
              <w:rPr>
                <w:rFonts w:eastAsia="Arial Unicode MS"/>
                <w:color w:val="000000" w:themeColor="text1"/>
                <w:sz w:val="20"/>
                <w:szCs w:val="20"/>
                <w:shd w:val="clear" w:color="auto" w:fill="FFFFFF"/>
                <w:lang w:val="en-US"/>
              </w:rPr>
              <w:t>unde</w:t>
            </w:r>
            <w:r w:rsidRPr="00274386">
              <w:rPr>
                <w:rStyle w:val="apple-converted-space"/>
                <w:rFonts w:eastAsia="Arial Unicode MS"/>
                <w:color w:val="000000" w:themeColor="text1"/>
                <w:sz w:val="20"/>
                <w:szCs w:val="20"/>
                <w:shd w:val="clear" w:color="auto" w:fill="FFFFFF"/>
                <w:lang w:val="en-US"/>
              </w:rPr>
              <w:t xml:space="preserve"> </w:t>
            </w:r>
            <w:r w:rsidRPr="00274386">
              <w:rPr>
                <w:rStyle w:val="italics"/>
                <w:rFonts w:eastAsia="Arial Unicode MS"/>
                <w:i/>
                <w:iCs/>
                <w:color w:val="000000" w:themeColor="text1"/>
                <w:sz w:val="20"/>
                <w:szCs w:val="20"/>
                <w:lang w:val="en-US"/>
              </w:rPr>
              <w:t>C</w:t>
            </w:r>
            <w:r w:rsidRPr="00274386">
              <w:rPr>
                <w:rStyle w:val="subscript"/>
                <w:rFonts w:eastAsia="Arial Unicode MS"/>
                <w:i/>
                <w:iCs/>
                <w:color w:val="000000" w:themeColor="text1"/>
                <w:sz w:val="20"/>
                <w:szCs w:val="20"/>
                <w:vertAlign w:val="subscript"/>
                <w:lang w:val="en-US"/>
              </w:rPr>
              <w:t>20 %</w:t>
            </w:r>
            <w:r w:rsidRPr="00274386">
              <w:rPr>
                <w:rFonts w:eastAsia="Arial Unicode MS"/>
                <w:color w:val="000000" w:themeColor="text1"/>
                <w:sz w:val="20"/>
                <w:szCs w:val="20"/>
                <w:shd w:val="clear" w:color="auto" w:fill="FFFFFF"/>
                <w:lang w:val="en-US"/>
              </w:rPr>
              <w:t>= 0,49 și</w:t>
            </w:r>
            <w:r w:rsidRPr="00274386">
              <w:rPr>
                <w:rStyle w:val="apple-converted-space"/>
                <w:rFonts w:eastAsia="Arial Unicode MS"/>
                <w:color w:val="000000" w:themeColor="text1"/>
                <w:sz w:val="20"/>
                <w:szCs w:val="20"/>
                <w:shd w:val="clear" w:color="auto" w:fill="FFFFFF"/>
                <w:lang w:val="en-US"/>
              </w:rPr>
              <w:t xml:space="preserve"> </w:t>
            </w:r>
            <w:r w:rsidRPr="00274386">
              <w:rPr>
                <w:rStyle w:val="italics"/>
                <w:rFonts w:eastAsia="Arial Unicode MS"/>
                <w:i/>
                <w:iCs/>
                <w:color w:val="000000" w:themeColor="text1"/>
                <w:sz w:val="20"/>
                <w:szCs w:val="20"/>
                <w:lang w:val="en-US"/>
              </w:rPr>
              <w:t>n</w:t>
            </w:r>
            <w:r w:rsidRPr="00274386">
              <w:rPr>
                <w:rStyle w:val="subscript"/>
                <w:rFonts w:eastAsia="Arial Unicode MS"/>
                <w:i/>
                <w:iCs/>
                <w:color w:val="000000" w:themeColor="text1"/>
                <w:sz w:val="20"/>
                <w:szCs w:val="20"/>
                <w:vertAlign w:val="subscript"/>
                <w:lang w:val="en-US"/>
              </w:rPr>
              <w:t>s</w:t>
            </w:r>
            <w:r w:rsidRPr="00274386">
              <w:rPr>
                <w:rStyle w:val="apple-converted-space"/>
                <w:rFonts w:eastAsia="Arial Unicode MS"/>
                <w:i/>
                <w:iCs/>
                <w:color w:val="000000" w:themeColor="text1"/>
                <w:sz w:val="20"/>
                <w:szCs w:val="20"/>
                <w:lang w:val="en-US"/>
              </w:rPr>
              <w:t xml:space="preserve"> </w:t>
            </w:r>
            <w:r w:rsidRPr="00274386">
              <w:rPr>
                <w:rFonts w:eastAsia="Arial Unicode MS"/>
                <w:color w:val="000000" w:themeColor="text1"/>
                <w:sz w:val="20"/>
                <w:szCs w:val="20"/>
                <w:shd w:val="clear" w:color="auto" w:fill="FFFFFF"/>
                <w:lang w:val="en-US"/>
              </w:rPr>
              <w:t>este viteza specifică definită ca:</w:t>
            </w:r>
          </w:p>
          <w:p w14:paraId="1DDE0B60" w14:textId="77777777" w:rsidR="00274386" w:rsidRDefault="00274386" w:rsidP="00274386">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21D744FF" w14:textId="77777777" w:rsidR="00274386" w:rsidRDefault="00274386" w:rsidP="00274386">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4A4784E2" w14:textId="77777777" w:rsidR="00274386" w:rsidRDefault="00274386" w:rsidP="00274386">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p>
          <w:p w14:paraId="12774C89" w14:textId="77777777" w:rsidR="00274386" w:rsidRDefault="00274386" w:rsidP="00274386">
            <w:pPr>
              <w:pStyle w:val="ti-art"/>
              <w:shd w:val="clear" w:color="auto" w:fill="FFFFFF"/>
              <w:spacing w:before="0" w:beforeAutospacing="0" w:after="0" w:afterAutospacing="0"/>
            </w:pPr>
            <w:r>
              <w:lastRenderedPageBreak/>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69B87633" wp14:editId="079BC82F">
                  <wp:extent cx="2558716" cy="967740"/>
                  <wp:effectExtent l="0" t="0" r="0" b="0"/>
                  <wp:docPr id="483778020"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70084" cy="972040"/>
                          </a:xfrm>
                          <a:prstGeom prst="rect">
                            <a:avLst/>
                          </a:prstGeom>
                          <a:noFill/>
                          <a:ln>
                            <a:noFill/>
                          </a:ln>
                        </pic:spPr>
                      </pic:pic>
                    </a:graphicData>
                  </a:graphic>
                </wp:inline>
              </w:drawing>
            </w:r>
            <w:r>
              <w:fldChar w:fldCharType="end"/>
            </w:r>
          </w:p>
          <w:p w14:paraId="2F77321B" w14:textId="77777777" w:rsidR="00274386" w:rsidRDefault="00274386" w:rsidP="00274386">
            <w:pPr>
              <w:pStyle w:val="ti-art"/>
              <w:shd w:val="clear" w:color="auto" w:fill="FFFFFF"/>
              <w:spacing w:before="0" w:beforeAutospacing="0" w:after="0" w:afterAutospacing="0"/>
            </w:pPr>
          </w:p>
          <w:p w14:paraId="1B7032BE" w14:textId="77777777" w:rsidR="00274386" w:rsidRPr="00274386" w:rsidRDefault="00274386" w:rsidP="00274386">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274386">
              <w:rPr>
                <w:rFonts w:eastAsia="Arial Unicode MS"/>
                <w:color w:val="333333"/>
                <w:sz w:val="20"/>
                <w:szCs w:val="20"/>
                <w:shd w:val="clear" w:color="auto" w:fill="FFFFFF"/>
                <w:lang w:val="en-US"/>
              </w:rPr>
              <w:t>unde:</w:t>
            </w:r>
          </w:p>
          <w:p w14:paraId="3A57670F" w14:textId="77777777" w:rsidR="00274386" w:rsidRPr="000469A9" w:rsidRDefault="00274386" w:rsidP="00274386">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0469A9">
              <w:rPr>
                <w:rFonts w:eastAsia="Arial Unicode MS"/>
                <w:i/>
                <w:iCs/>
                <w:color w:val="333333"/>
                <w:sz w:val="20"/>
                <w:szCs w:val="20"/>
                <w:shd w:val="clear" w:color="auto" w:fill="FFFFFF"/>
                <w:lang w:val="en-US"/>
              </w:rPr>
              <w:t>n</w:t>
            </w:r>
            <w:r w:rsidRPr="000469A9">
              <w:rPr>
                <w:rStyle w:val="subscript"/>
                <w:rFonts w:eastAsia="Arial Unicode MS"/>
                <w:i/>
                <w:iCs/>
                <w:color w:val="333333"/>
                <w:sz w:val="20"/>
                <w:szCs w:val="20"/>
                <w:vertAlign w:val="subscript"/>
                <w:lang w:val="en-US"/>
              </w:rPr>
              <w:t xml:space="preserve">s </w:t>
            </w:r>
            <w:r w:rsidRPr="000469A9">
              <w:rPr>
                <w:rFonts w:eastAsia="Arial Unicode MS"/>
                <w:color w:val="333333"/>
                <w:sz w:val="20"/>
                <w:szCs w:val="20"/>
                <w:shd w:val="clear" w:color="auto" w:fill="FFFFFF"/>
                <w:lang w:val="en-US"/>
              </w:rPr>
              <w:t xml:space="preserve"> [rpm] este viteza specifică a pompei de circulație;</w:t>
            </w:r>
          </w:p>
          <w:p w14:paraId="1D1D74AB" w14:textId="5B8D6136" w:rsidR="00274386" w:rsidRPr="00274386" w:rsidRDefault="00274386" w:rsidP="00274386">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0469A9">
              <w:rPr>
                <w:rFonts w:eastAsia="Arial Unicode MS"/>
                <w:i/>
                <w:iCs/>
                <w:color w:val="000000" w:themeColor="text1"/>
                <w:sz w:val="20"/>
                <w:szCs w:val="20"/>
                <w:shd w:val="clear" w:color="auto" w:fill="FFFFFF"/>
                <w:lang w:val="en-US"/>
              </w:rPr>
              <w:t>n</w:t>
            </w:r>
            <w:r w:rsidRPr="000469A9">
              <w:rPr>
                <w:rStyle w:val="subscript"/>
                <w:rFonts w:eastAsia="Arial Unicode MS"/>
                <w:i/>
                <w:iCs/>
                <w:color w:val="000000" w:themeColor="text1"/>
                <w:sz w:val="20"/>
                <w:szCs w:val="20"/>
                <w:vertAlign w:val="subscript"/>
                <w:lang w:val="en-US"/>
              </w:rPr>
              <w:t xml:space="preserve">100 %.   </w:t>
            </w:r>
            <w:r w:rsidRPr="000469A9">
              <w:rPr>
                <w:rFonts w:eastAsia="Arial Unicode MS"/>
                <w:color w:val="000000" w:themeColor="text1"/>
                <w:sz w:val="20"/>
                <w:szCs w:val="20"/>
                <w:shd w:val="clear" w:color="auto" w:fill="FFFFFF"/>
                <w:lang w:val="en-US"/>
              </w:rPr>
              <w:t xml:space="preserve"> este viteza de rotație, în rpm, corespunzătoare acestor utilizări, definită la</w:t>
            </w:r>
            <w:r w:rsidRPr="000469A9">
              <w:rPr>
                <w:rStyle w:val="apple-converted-space"/>
                <w:rFonts w:eastAsia="Arial Unicode MS"/>
                <w:color w:val="000000" w:themeColor="text1"/>
                <w:sz w:val="20"/>
                <w:szCs w:val="20"/>
                <w:shd w:val="clear" w:color="auto" w:fill="FFFFFF"/>
                <w:lang w:val="en-US"/>
              </w:rPr>
              <w:t xml:space="preserve"> </w:t>
            </w:r>
            <w:r w:rsidRPr="000469A9">
              <w:rPr>
                <w:rStyle w:val="italics"/>
                <w:rFonts w:eastAsia="Arial Unicode MS"/>
                <w:i/>
                <w:iCs/>
                <w:color w:val="000000" w:themeColor="text1"/>
                <w:sz w:val="20"/>
                <w:szCs w:val="20"/>
                <w:lang w:val="en-US"/>
              </w:rPr>
              <w:t>Q</w:t>
            </w:r>
            <w:r w:rsidRPr="000469A9">
              <w:rPr>
                <w:rStyle w:val="apple-converted-space"/>
                <w:rFonts w:eastAsia="Arial Unicode MS"/>
                <w:color w:val="000000" w:themeColor="text1"/>
                <w:sz w:val="20"/>
                <w:szCs w:val="20"/>
                <w:shd w:val="clear" w:color="auto" w:fill="FFFFFF"/>
                <w:lang w:val="en-US"/>
              </w:rPr>
              <w:t xml:space="preserve"> </w:t>
            </w:r>
            <w:r w:rsidRPr="000469A9">
              <w:rPr>
                <w:rStyle w:val="subscript"/>
                <w:rFonts w:eastAsia="Arial Unicode MS"/>
                <w:color w:val="000000" w:themeColor="text1"/>
                <w:sz w:val="20"/>
                <w:szCs w:val="20"/>
                <w:vertAlign w:val="subscript"/>
                <w:lang w:val="en-US"/>
              </w:rPr>
              <w:t>100 %</w:t>
            </w:r>
            <w:r w:rsidRPr="000469A9">
              <w:rPr>
                <w:rStyle w:val="apple-converted-space"/>
                <w:rFonts w:eastAsia="Arial Unicode MS"/>
                <w:color w:val="000000" w:themeColor="text1"/>
                <w:sz w:val="20"/>
                <w:szCs w:val="20"/>
                <w:shd w:val="clear" w:color="auto" w:fill="FFFFFF"/>
                <w:lang w:val="en-US"/>
              </w:rPr>
              <w:t xml:space="preserve"> </w:t>
            </w:r>
            <w:r w:rsidRPr="000469A9">
              <w:rPr>
                <w:rFonts w:eastAsia="Arial Unicode MS"/>
                <w:color w:val="000000" w:themeColor="text1"/>
                <w:sz w:val="20"/>
                <w:szCs w:val="20"/>
                <w:shd w:val="clear" w:color="auto" w:fill="FFFFFF"/>
                <w:lang w:val="en-US"/>
              </w:rPr>
              <w:t>și</w:t>
            </w:r>
            <w:r w:rsidRPr="000469A9">
              <w:rPr>
                <w:rStyle w:val="apple-converted-space"/>
                <w:rFonts w:eastAsia="Arial Unicode MS"/>
                <w:color w:val="000000" w:themeColor="text1"/>
                <w:sz w:val="20"/>
                <w:szCs w:val="20"/>
                <w:shd w:val="clear" w:color="auto" w:fill="FFFFFF"/>
                <w:lang w:val="en-US"/>
              </w:rPr>
              <w:t xml:space="preserve"> </w:t>
            </w:r>
            <w:r w:rsidRPr="000469A9">
              <w:rPr>
                <w:rStyle w:val="italics"/>
                <w:rFonts w:eastAsia="Arial Unicode MS"/>
                <w:i/>
                <w:iCs/>
                <w:color w:val="000000" w:themeColor="text1"/>
                <w:sz w:val="20"/>
                <w:szCs w:val="20"/>
                <w:lang w:val="en-US"/>
              </w:rPr>
              <w:t>H</w:t>
            </w:r>
            <w:r w:rsidRPr="000469A9">
              <w:rPr>
                <w:rStyle w:val="apple-converted-space"/>
                <w:rFonts w:eastAsia="Arial Unicode MS"/>
                <w:color w:val="000000" w:themeColor="text1"/>
                <w:sz w:val="20"/>
                <w:szCs w:val="20"/>
                <w:shd w:val="clear" w:color="auto" w:fill="FFFFFF"/>
                <w:lang w:val="en-US"/>
              </w:rPr>
              <w:t xml:space="preserve"> </w:t>
            </w:r>
            <w:r w:rsidRPr="000469A9">
              <w:rPr>
                <w:rStyle w:val="subscript"/>
                <w:rFonts w:eastAsia="Arial Unicode MS"/>
                <w:color w:val="000000" w:themeColor="text1"/>
                <w:sz w:val="20"/>
                <w:szCs w:val="20"/>
                <w:vertAlign w:val="subscript"/>
                <w:lang w:val="en-US"/>
              </w:rPr>
              <w:t>100%</w:t>
            </w:r>
            <w:r w:rsidRPr="000469A9">
              <w:rPr>
                <w:rFonts w:eastAsia="Arial Unicode MS"/>
                <w:color w:val="000000" w:themeColor="text1"/>
                <w:sz w:val="20"/>
                <w:szCs w:val="20"/>
                <w:shd w:val="clear" w:color="auto" w:fill="FFFFFF"/>
                <w:lang w:val="en-US"/>
              </w:rPr>
              <w:t>.</w:t>
            </w:r>
          </w:p>
        </w:tc>
        <w:tc>
          <w:tcPr>
            <w:tcW w:w="1276" w:type="dxa"/>
            <w:shd w:val="clear" w:color="auto" w:fill="auto"/>
          </w:tcPr>
          <w:p w14:paraId="0E118C48" w14:textId="28E05CE8" w:rsidR="00404625" w:rsidRPr="00C951E7" w:rsidRDefault="004379C5" w:rsidP="00112048">
            <w:pPr>
              <w:spacing w:after="0" w:line="240" w:lineRule="auto"/>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lastRenderedPageBreak/>
              <w:t>Compatibil</w:t>
            </w:r>
          </w:p>
        </w:tc>
        <w:tc>
          <w:tcPr>
            <w:tcW w:w="1275" w:type="dxa"/>
            <w:shd w:val="clear" w:color="auto" w:fill="auto"/>
          </w:tcPr>
          <w:p w14:paraId="523F568F" w14:textId="77777777" w:rsidR="00404625" w:rsidRPr="00AC24A4" w:rsidRDefault="00404625"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2E892D3" w14:textId="2027CDCE" w:rsidR="00404625" w:rsidRPr="00ED257E" w:rsidRDefault="004379C5" w:rsidP="00925A21">
            <w:pPr>
              <w:autoSpaceDE w:val="0"/>
              <w:spacing w:after="0" w:line="240" w:lineRule="auto"/>
              <w:rPr>
                <w:rFonts w:ascii="Times New Roman" w:eastAsia="Times New Roman" w:hAnsi="Times New Roman"/>
                <w:sz w:val="20"/>
                <w:szCs w:val="20"/>
                <w:lang w:val="ro-MD"/>
              </w:rPr>
            </w:pPr>
            <w:r>
              <w:rPr>
                <w:rFonts w:ascii="Times New Roman" w:eastAsia="Times New Roman" w:hAnsi="Times New Roman"/>
                <w:color w:val="000000" w:themeColor="text1"/>
                <w:sz w:val="20"/>
                <w:szCs w:val="20"/>
                <w:lang w:val="ro-RO" w:eastAsia="ru-RU"/>
              </w:rPr>
              <w:t xml:space="preserve">Prevederile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în Regulamentul cu privire la cerințele de proiectare ecologică aplicabile pompelor de circulație fără etanșare independente și pompelor de circulație fără etanșare integrate în produse din Anexa nr.14  Hotărîrii de Guvern nr. 750 din 13 iunie 2016</w:t>
            </w:r>
            <w:r w:rsidR="00855024">
              <w:rPr>
                <w:rFonts w:ascii="Times New Roman" w:eastAsia="Times New Roman" w:hAnsi="Times New Roman"/>
                <w:color w:val="000000" w:themeColor="text1"/>
                <w:sz w:val="20"/>
                <w:szCs w:val="20"/>
                <w:lang w:val="ro-RO" w:eastAsia="ro-RO"/>
              </w:rPr>
              <w:t xml:space="preserve">, cu excepía formulei aferente </w:t>
            </w:r>
            <w:r w:rsidR="00855024">
              <w:t xml:space="preserve"> </w:t>
            </w:r>
            <w:r w:rsidR="00855024">
              <w:rPr>
                <w:rFonts w:ascii="Times New Roman" w:eastAsia="Times New Roman" w:hAnsi="Times New Roman"/>
                <w:color w:val="000000" w:themeColor="text1"/>
                <w:sz w:val="20"/>
                <w:szCs w:val="20"/>
                <w:lang w:val="ro-RO" w:eastAsia="ro-RO"/>
              </w:rPr>
              <w:t>indicelui</w:t>
            </w:r>
            <w:r w:rsidR="00855024" w:rsidRPr="00855024">
              <w:rPr>
                <w:rFonts w:ascii="Times New Roman" w:eastAsia="Times New Roman" w:hAnsi="Times New Roman"/>
                <w:color w:val="000000" w:themeColor="text1"/>
                <w:sz w:val="20"/>
                <w:szCs w:val="20"/>
                <w:lang w:val="ro-RO" w:eastAsia="ro-RO"/>
              </w:rPr>
              <w:t xml:space="preserve"> de eficiență energetică</w:t>
            </w:r>
            <w:r w:rsidR="00855024">
              <w:rPr>
                <w:rFonts w:ascii="Times New Roman" w:eastAsia="Times New Roman" w:hAnsi="Times New Roman"/>
                <w:color w:val="000000" w:themeColor="text1"/>
                <w:sz w:val="20"/>
                <w:szCs w:val="20"/>
                <w:lang w:val="ro-RO" w:eastAsia="ro-RO"/>
              </w:rPr>
              <w:t>, care se traspune prin prezentele modific</w:t>
            </w:r>
            <w:r w:rsidR="00855024">
              <w:rPr>
                <w:rFonts w:ascii="Times New Roman" w:eastAsia="Times New Roman" w:hAnsi="Times New Roman"/>
                <w:color w:val="000000" w:themeColor="text1"/>
                <w:sz w:val="20"/>
                <w:szCs w:val="20"/>
                <w:lang w:val="ro-MD" w:eastAsia="ro-RO"/>
              </w:rPr>
              <w:t>ări.</w:t>
            </w:r>
          </w:p>
        </w:tc>
        <w:tc>
          <w:tcPr>
            <w:tcW w:w="1464" w:type="dxa"/>
            <w:shd w:val="clear" w:color="auto" w:fill="auto"/>
          </w:tcPr>
          <w:p w14:paraId="057E2360" w14:textId="77777777" w:rsidR="004379C5" w:rsidRPr="003F755D" w:rsidRDefault="004379C5" w:rsidP="004379C5">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F55918E" w14:textId="77777777" w:rsidR="00404625" w:rsidRPr="00F77CAB" w:rsidRDefault="00404625" w:rsidP="00112048">
            <w:pPr>
              <w:autoSpaceDE w:val="0"/>
              <w:spacing w:after="0" w:line="240" w:lineRule="auto"/>
              <w:rPr>
                <w:rFonts w:ascii="Times New Roman" w:hAnsi="Times New Roman"/>
                <w:sz w:val="20"/>
                <w:szCs w:val="20"/>
                <w:lang w:val="en-US"/>
              </w:rPr>
            </w:pPr>
          </w:p>
        </w:tc>
      </w:tr>
      <w:tr w:rsidR="00404625" w:rsidRPr="00462A92" w14:paraId="2352EBA0" w14:textId="77777777" w:rsidTr="00340B94">
        <w:trPr>
          <w:trHeight w:val="558"/>
        </w:trPr>
        <w:tc>
          <w:tcPr>
            <w:tcW w:w="4957" w:type="dxa"/>
            <w:shd w:val="clear" w:color="auto" w:fill="auto"/>
          </w:tcPr>
          <w:p w14:paraId="26F4F1A5" w14:textId="77777777" w:rsidR="00404625" w:rsidRPr="000469A9" w:rsidRDefault="003626DB" w:rsidP="003626D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469A9">
              <w:rPr>
                <w:rFonts w:eastAsia="Arial Unicode MS"/>
                <w:i/>
                <w:iCs/>
                <w:color w:val="333333"/>
                <w:sz w:val="20"/>
                <w:szCs w:val="20"/>
                <w:shd w:val="clear" w:color="auto" w:fill="FFFFFF"/>
                <w:lang w:val="en-US"/>
              </w:rPr>
              <w:lastRenderedPageBreak/>
              <w:t>ANEXA III</w:t>
            </w:r>
          </w:p>
          <w:p w14:paraId="0751A3D2" w14:textId="77777777" w:rsidR="003626DB" w:rsidRDefault="003626DB" w:rsidP="003626DB">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3626DB">
              <w:rPr>
                <w:rFonts w:eastAsia="Arial Unicode MS"/>
                <w:b/>
                <w:bCs/>
                <w:color w:val="333333"/>
                <w:sz w:val="20"/>
                <w:szCs w:val="20"/>
                <w:shd w:val="clear" w:color="auto" w:fill="FFFFFF"/>
                <w:lang w:val="en-US"/>
              </w:rPr>
              <w:t>Verificarea conformității produselor de către autoritățile de supraveghere a pieței</w:t>
            </w:r>
          </w:p>
          <w:p w14:paraId="1FA5ECB5" w14:textId="77777777" w:rsidR="003626DB" w:rsidRDefault="003626DB" w:rsidP="000469A9">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3626DB">
              <w:rPr>
                <w:rFonts w:eastAsia="Arial Unicode MS"/>
                <w:color w:val="333333"/>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66343067" w14:textId="3C7FF46F" w:rsidR="003626DB" w:rsidRDefault="003626DB" w:rsidP="000469A9">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3626DB">
              <w:rPr>
                <w:rFonts w:eastAsia="Arial Unicode MS"/>
                <w:color w:val="333333"/>
                <w:sz w:val="20"/>
                <w:szCs w:val="20"/>
                <w:shd w:val="clear" w:color="auto" w:fill="FFFFFF"/>
                <w:lang w:val="en-US"/>
              </w:rPr>
              <w:t>La verificarea conformității unui model de produs cu cerințele prevăzute în prezentul regulament în temeiul articolului</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3 alineatul</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(2) din Directiva 2009/125/CE, pentru cerințele menționate în prezenta anexă, autoritățile statelor membre aplică următoarea procedură:</w:t>
            </w:r>
          </w:p>
          <w:p w14:paraId="5703AA59" w14:textId="77777777" w:rsidR="003626DB" w:rsidRPr="003626DB" w:rsidRDefault="003626DB">
            <w:pPr>
              <w:pStyle w:val="ti-art"/>
              <w:numPr>
                <w:ilvl w:val="0"/>
                <w:numId w:val="22"/>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Autoritățile statelor membre verifică o singură unitate din model.</w:t>
            </w:r>
          </w:p>
          <w:p w14:paraId="33285E53" w14:textId="77777777" w:rsidR="003626DB" w:rsidRDefault="003626DB">
            <w:pPr>
              <w:pStyle w:val="ti-art"/>
              <w:numPr>
                <w:ilvl w:val="0"/>
                <w:numId w:val="22"/>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Modelul este considerat conform cu cerințele aplicabile dacă:</w:t>
            </w:r>
          </w:p>
          <w:p w14:paraId="15850959" w14:textId="0A91B962" w:rsidR="003626DB" w:rsidRPr="003626DB" w:rsidRDefault="003626DB">
            <w:pPr>
              <w:pStyle w:val="ti-art"/>
              <w:numPr>
                <w:ilvl w:val="0"/>
                <w:numId w:val="23"/>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valorile indicate în documentația tehnică în temeiul punctului</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2 din anexa</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IV la Directiva 2009/125/CE (valorile declarate) și, după caz, valorile utilizate pentru a calcula aceste valori nu sunt mai avantajoase pentru producător sau importator decât rezultatele măsurătorilor corespunzătoare efectuate în temeiul literei</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(g) de la punctul menționat; și</w:t>
            </w:r>
          </w:p>
          <w:p w14:paraId="642C76D1" w14:textId="77777777" w:rsidR="003626DB" w:rsidRPr="003626DB" w:rsidRDefault="003626DB">
            <w:pPr>
              <w:pStyle w:val="ti-art"/>
              <w:numPr>
                <w:ilvl w:val="0"/>
                <w:numId w:val="23"/>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36B7BE72" w14:textId="78A1FF06" w:rsidR="003626DB" w:rsidRPr="003626DB" w:rsidRDefault="003626DB">
            <w:pPr>
              <w:pStyle w:val="ti-art"/>
              <w:numPr>
                <w:ilvl w:val="0"/>
                <w:numId w:val="23"/>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lastRenderedPageBreak/>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1.</w:t>
            </w:r>
          </w:p>
          <w:p w14:paraId="12C31AC9" w14:textId="33DB9976" w:rsidR="003626DB" w:rsidRPr="003626DB" w:rsidRDefault="003626DB">
            <w:pPr>
              <w:pStyle w:val="ti-art"/>
              <w:numPr>
                <w:ilvl w:val="0"/>
                <w:numId w:val="24"/>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Dacă rezultatele menționate la punctul</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2 litera</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(a) sau (b) nu sunt atinse, modelul este considerat neconform cu prezentul regulament.</w:t>
            </w:r>
          </w:p>
          <w:p w14:paraId="3ECE5466" w14:textId="27B63EE6" w:rsidR="003626DB" w:rsidRPr="003626DB" w:rsidRDefault="003626DB">
            <w:pPr>
              <w:pStyle w:val="ti-art"/>
              <w:numPr>
                <w:ilvl w:val="0"/>
                <w:numId w:val="24"/>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Dacă rezultatul menționat la punctul</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2 litera</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(c) nu este atins, autoritățile statelor membre aleg pentru testare trei unități suplimentare din același model.</w:t>
            </w:r>
          </w:p>
          <w:p w14:paraId="27A3F582" w14:textId="758D63A3" w:rsidR="003626DB" w:rsidRPr="003626DB" w:rsidRDefault="003626DB">
            <w:pPr>
              <w:pStyle w:val="ti-art"/>
              <w:numPr>
                <w:ilvl w:val="0"/>
                <w:numId w:val="24"/>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1.</w:t>
            </w:r>
          </w:p>
          <w:p w14:paraId="27F58535" w14:textId="047AEEA9" w:rsidR="003626DB" w:rsidRPr="003626DB" w:rsidRDefault="003626DB">
            <w:pPr>
              <w:pStyle w:val="ti-art"/>
              <w:numPr>
                <w:ilvl w:val="0"/>
                <w:numId w:val="24"/>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shd w:val="clear" w:color="auto" w:fill="FFFFFF"/>
                <w:lang w:val="en-US"/>
              </w:rPr>
              <w:t>Dacă rezultatul menționat la punctul</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5 nu este atins, modelul este considerat neconform cu prezentul regulament.</w:t>
            </w:r>
          </w:p>
          <w:p w14:paraId="3841DA33" w14:textId="5089CB21" w:rsidR="003626DB" w:rsidRDefault="003626DB">
            <w:pPr>
              <w:pStyle w:val="ti-art"/>
              <w:numPr>
                <w:ilvl w:val="0"/>
                <w:numId w:val="24"/>
              </w:numPr>
              <w:shd w:val="clear" w:color="auto" w:fill="FFFFFF"/>
              <w:spacing w:before="0" w:beforeAutospacing="0" w:after="0" w:afterAutospacing="0"/>
              <w:jc w:val="both"/>
              <w:rPr>
                <w:i/>
                <w:iCs/>
                <w:color w:val="333333"/>
                <w:sz w:val="20"/>
                <w:szCs w:val="20"/>
                <w:lang w:val="en-US"/>
              </w:rPr>
            </w:pPr>
            <w:r w:rsidRPr="003626DB">
              <w:rPr>
                <w:rFonts w:eastAsia="Arial Unicode MS"/>
                <w:color w:val="333333"/>
                <w:sz w:val="20"/>
                <w:szCs w:val="20"/>
                <w:lang w:val="en-US"/>
              </w:rPr>
              <w:t>Fără întârziere după luarea deciziei privind neconformitatea modelului conform punctelor</w:t>
            </w:r>
            <w:r w:rsidR="000469A9">
              <w:rPr>
                <w:rFonts w:eastAsia="Arial Unicode MS"/>
                <w:color w:val="333333"/>
                <w:sz w:val="20"/>
                <w:szCs w:val="20"/>
                <w:lang w:val="en-US"/>
              </w:rPr>
              <w:t xml:space="preserve"> </w:t>
            </w:r>
            <w:r w:rsidRPr="003626DB">
              <w:rPr>
                <w:rFonts w:eastAsia="Arial Unicode MS"/>
                <w:color w:val="333333"/>
                <w:sz w:val="20"/>
                <w:szCs w:val="20"/>
                <w:lang w:val="en-US"/>
              </w:rPr>
              <w:t>3 și</w:t>
            </w:r>
            <w:r w:rsidR="000469A9">
              <w:rPr>
                <w:rFonts w:eastAsia="Arial Unicode MS"/>
                <w:color w:val="333333"/>
                <w:sz w:val="20"/>
                <w:szCs w:val="20"/>
                <w:lang w:val="en-US"/>
              </w:rPr>
              <w:t xml:space="preserve"> </w:t>
            </w:r>
            <w:r w:rsidRPr="003626DB">
              <w:rPr>
                <w:rFonts w:eastAsia="Arial Unicode MS"/>
                <w:color w:val="333333"/>
                <w:sz w:val="20"/>
                <w:szCs w:val="20"/>
                <w:lang w:val="en-US"/>
              </w:rPr>
              <w:t>6, autoritățile statului membru relevant furnizează autorităților celorlalte state membre și Comisiei toate informațiile relevante.</w:t>
            </w:r>
          </w:p>
          <w:p w14:paraId="0F9DF3A3" w14:textId="1D3E2F1B" w:rsidR="003626DB" w:rsidRDefault="003626DB" w:rsidP="000469A9">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3626DB">
              <w:rPr>
                <w:rFonts w:eastAsia="Arial Unicode MS"/>
                <w:color w:val="333333"/>
                <w:sz w:val="20"/>
                <w:szCs w:val="20"/>
                <w:shd w:val="clear" w:color="auto" w:fill="FFFFFF"/>
                <w:lang w:val="en-US"/>
              </w:rPr>
              <w:t>Autoritățile statelor membre utilizează metodele de măsurare și de calcul stabilite în anexa</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II.</w:t>
            </w:r>
          </w:p>
          <w:p w14:paraId="5D9245B6" w14:textId="61411F1F" w:rsidR="003626DB" w:rsidRDefault="003626DB" w:rsidP="000469A9">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3626DB">
              <w:rPr>
                <w:rFonts w:eastAsia="Arial Unicode MS"/>
                <w:color w:val="333333"/>
                <w:sz w:val="20"/>
                <w:szCs w:val="20"/>
                <w:shd w:val="clear" w:color="auto" w:fill="FFFFFF"/>
                <w:lang w:val="en-US"/>
              </w:rPr>
              <w:t>Autoritățile statelor membre aplică numai toleranțele de verificare stabilite în tabelul</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1 și utilizează doar procedura descrisă la punctele</w:t>
            </w:r>
            <w:r w:rsidR="000469A9">
              <w:rPr>
                <w:rFonts w:eastAsia="Arial Unicode MS"/>
                <w:color w:val="333333"/>
                <w:sz w:val="20"/>
                <w:szCs w:val="20"/>
                <w:shd w:val="clear" w:color="auto" w:fill="FFFFFF"/>
                <w:lang w:val="en-US"/>
              </w:rPr>
              <w:t xml:space="preserve"> </w:t>
            </w:r>
            <w:r w:rsidRPr="003626DB">
              <w:rPr>
                <w:rFonts w:eastAsia="Arial Unicode MS"/>
                <w:color w:val="333333"/>
                <w:sz w:val="20"/>
                <w:szCs w:val="20"/>
                <w:shd w:val="clear" w:color="auto" w:fill="FFFFFF"/>
                <w:lang w:val="en-US"/>
              </w:rPr>
              <w:t>1-7 pentru cerințele menționate în prezenta anexă. Nu se aplică alte toleranțe, cum ar fi cele stabilite în standardele armonizate sau în orice altă metodă de măsurare.</w:t>
            </w:r>
          </w:p>
          <w:p w14:paraId="28CB5C8C" w14:textId="77777777" w:rsidR="003626DB" w:rsidRDefault="003626DB" w:rsidP="003626DB">
            <w:pPr>
              <w:pStyle w:val="ti-art"/>
              <w:shd w:val="clear" w:color="auto" w:fill="FFFFFF"/>
              <w:spacing w:before="0" w:beforeAutospacing="0" w:after="0" w:afterAutospacing="0"/>
              <w:jc w:val="center"/>
              <w:rPr>
                <w:rFonts w:eastAsia="Arial Unicode MS"/>
                <w:b/>
                <w:bCs/>
                <w:i/>
                <w:iCs/>
                <w:color w:val="333333"/>
                <w:sz w:val="20"/>
                <w:szCs w:val="20"/>
                <w:shd w:val="clear" w:color="auto" w:fill="FFFFFF"/>
              </w:rPr>
            </w:pPr>
            <w:r w:rsidRPr="003626DB">
              <w:rPr>
                <w:rFonts w:eastAsia="Arial Unicode MS"/>
                <w:b/>
                <w:bCs/>
                <w:i/>
                <w:iCs/>
                <w:color w:val="333333"/>
                <w:sz w:val="20"/>
                <w:szCs w:val="20"/>
                <w:shd w:val="clear" w:color="auto" w:fill="FFFFFF"/>
              </w:rPr>
              <w:t>Tabelul 1</w:t>
            </w:r>
          </w:p>
          <w:p w14:paraId="191E4BCE" w14:textId="77777777" w:rsidR="003626DB" w:rsidRDefault="007316D9" w:rsidP="003626DB">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7316D9">
              <w:rPr>
                <w:rFonts w:eastAsia="Arial Unicode MS"/>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1577"/>
              <w:gridCol w:w="3154"/>
            </w:tblGrid>
            <w:tr w:rsidR="007316D9" w14:paraId="224657B8" w14:textId="77777777" w:rsidTr="00ED578B">
              <w:tc>
                <w:tcPr>
                  <w:tcW w:w="1577" w:type="dxa"/>
                </w:tcPr>
                <w:p w14:paraId="2FD4C75C" w14:textId="596C7C40" w:rsidR="007316D9" w:rsidRPr="007316D9" w:rsidRDefault="007316D9" w:rsidP="001D2563">
                  <w:pPr>
                    <w:pStyle w:val="ti-art"/>
                    <w:framePr w:hSpace="180" w:wrap="around" w:vAnchor="text" w:hAnchor="text" w:x="-136" w:y="1"/>
                    <w:spacing w:before="0" w:beforeAutospacing="0" w:after="0" w:afterAutospacing="0"/>
                    <w:suppressOverlap/>
                    <w:rPr>
                      <w:i/>
                      <w:iCs/>
                      <w:color w:val="333333"/>
                      <w:sz w:val="20"/>
                      <w:szCs w:val="20"/>
                      <w:lang w:val="en-US"/>
                    </w:rPr>
                  </w:pPr>
                  <w:r w:rsidRPr="007316D9">
                    <w:rPr>
                      <w:rFonts w:eastAsia="Arial Unicode MS"/>
                      <w:b/>
                      <w:bCs/>
                      <w:color w:val="333333"/>
                      <w:sz w:val="20"/>
                      <w:szCs w:val="20"/>
                      <w:shd w:val="clear" w:color="auto" w:fill="FFFFFF"/>
                    </w:rPr>
                    <w:t>Parametru</w:t>
                  </w:r>
                </w:p>
              </w:tc>
              <w:tc>
                <w:tcPr>
                  <w:tcW w:w="3154" w:type="dxa"/>
                </w:tcPr>
                <w:p w14:paraId="02877955" w14:textId="5B93CA99" w:rsidR="007316D9" w:rsidRPr="007316D9" w:rsidRDefault="007316D9" w:rsidP="001D2563">
                  <w:pPr>
                    <w:pStyle w:val="ti-art"/>
                    <w:framePr w:hSpace="180" w:wrap="around" w:vAnchor="text" w:hAnchor="text" w:x="-136" w:y="1"/>
                    <w:spacing w:before="0" w:beforeAutospacing="0" w:after="0" w:afterAutospacing="0"/>
                    <w:suppressOverlap/>
                    <w:rPr>
                      <w:i/>
                      <w:iCs/>
                      <w:color w:val="333333"/>
                      <w:sz w:val="20"/>
                      <w:szCs w:val="20"/>
                      <w:lang w:val="en-US"/>
                    </w:rPr>
                  </w:pPr>
                  <w:r w:rsidRPr="007316D9">
                    <w:rPr>
                      <w:rFonts w:eastAsia="Arial Unicode MS"/>
                      <w:b/>
                      <w:bCs/>
                      <w:color w:val="333333"/>
                      <w:sz w:val="20"/>
                      <w:szCs w:val="20"/>
                      <w:shd w:val="clear" w:color="auto" w:fill="FFFFFF"/>
                    </w:rPr>
                    <w:t>Toleranță de verificare</w:t>
                  </w:r>
                </w:p>
              </w:tc>
            </w:tr>
            <w:tr w:rsidR="007316D9" w14:paraId="5E5DDAFA" w14:textId="77777777" w:rsidTr="00ED578B">
              <w:tc>
                <w:tcPr>
                  <w:tcW w:w="1577" w:type="dxa"/>
                </w:tcPr>
                <w:p w14:paraId="18FADF25" w14:textId="4B07BF36" w:rsidR="007316D9" w:rsidRPr="007316D9" w:rsidRDefault="007316D9" w:rsidP="001D2563">
                  <w:pPr>
                    <w:pStyle w:val="ti-art"/>
                    <w:framePr w:hSpace="180" w:wrap="around" w:vAnchor="text" w:hAnchor="text" w:x="-136" w:y="1"/>
                    <w:spacing w:before="0" w:beforeAutospacing="0" w:after="0" w:afterAutospacing="0"/>
                    <w:suppressOverlap/>
                    <w:rPr>
                      <w:i/>
                      <w:iCs/>
                      <w:color w:val="333333"/>
                      <w:sz w:val="20"/>
                      <w:szCs w:val="20"/>
                      <w:lang w:val="en-US"/>
                    </w:rPr>
                  </w:pPr>
                  <w:r w:rsidRPr="007316D9">
                    <w:rPr>
                      <w:rFonts w:eastAsia="Arial Unicode MS"/>
                      <w:color w:val="333333"/>
                      <w:sz w:val="20"/>
                      <w:szCs w:val="20"/>
                      <w:shd w:val="clear" w:color="auto" w:fill="FFFFFF"/>
                    </w:rPr>
                    <w:t>Indice de eficiență energetică</w:t>
                  </w:r>
                </w:p>
              </w:tc>
              <w:tc>
                <w:tcPr>
                  <w:tcW w:w="3154" w:type="dxa"/>
                </w:tcPr>
                <w:p w14:paraId="6B4F5ADE" w14:textId="68D9E1CB" w:rsidR="007316D9" w:rsidRPr="007316D9" w:rsidRDefault="007316D9" w:rsidP="001D2563">
                  <w:pPr>
                    <w:pStyle w:val="ti-art"/>
                    <w:framePr w:hSpace="180" w:wrap="around" w:vAnchor="text" w:hAnchor="text" w:x="-136" w:y="1"/>
                    <w:spacing w:before="0" w:beforeAutospacing="0" w:after="0" w:afterAutospacing="0"/>
                    <w:suppressOverlap/>
                    <w:rPr>
                      <w:i/>
                      <w:iCs/>
                      <w:color w:val="333333"/>
                      <w:sz w:val="20"/>
                      <w:szCs w:val="20"/>
                      <w:lang w:val="en-US"/>
                    </w:rPr>
                  </w:pPr>
                  <w:r w:rsidRPr="007316D9">
                    <w:rPr>
                      <w:rFonts w:eastAsia="Arial Unicode MS"/>
                      <w:color w:val="333333"/>
                      <w:sz w:val="20"/>
                      <w:szCs w:val="20"/>
                      <w:shd w:val="clear" w:color="auto" w:fill="FFFFFF"/>
                      <w:lang w:val="en-US"/>
                    </w:rPr>
                    <w:t>Valoarea obținută nu trebuie să depășească valoarea declarată cu mai mult de 7</w:t>
                  </w:r>
                  <w:r w:rsidR="000469A9">
                    <w:rPr>
                      <w:rFonts w:eastAsia="Arial Unicode MS"/>
                      <w:color w:val="333333"/>
                      <w:sz w:val="20"/>
                      <w:szCs w:val="20"/>
                      <w:shd w:val="clear" w:color="auto" w:fill="FFFFFF"/>
                      <w:lang w:val="en-US"/>
                    </w:rPr>
                    <w:t xml:space="preserve"> </w:t>
                  </w:r>
                  <w:r w:rsidRPr="007316D9">
                    <w:rPr>
                      <w:rFonts w:eastAsia="Arial Unicode MS"/>
                      <w:color w:val="333333"/>
                      <w:sz w:val="20"/>
                      <w:szCs w:val="20"/>
                      <w:shd w:val="clear" w:color="auto" w:fill="FFFFFF"/>
                      <w:lang w:val="en-US"/>
                    </w:rPr>
                    <w:t>%.</w:t>
                  </w:r>
                </w:p>
              </w:tc>
            </w:tr>
          </w:tbl>
          <w:p w14:paraId="3982B1BC" w14:textId="561D9ADB" w:rsidR="007316D9" w:rsidRPr="007316D9" w:rsidRDefault="00C43796" w:rsidP="007316D9">
            <w:pPr>
              <w:pStyle w:val="ti-art"/>
              <w:shd w:val="clear" w:color="auto" w:fill="FFFFFF"/>
              <w:spacing w:before="0" w:beforeAutospacing="0" w:after="0" w:afterAutospacing="0"/>
              <w:rPr>
                <w:i/>
                <w:iCs/>
                <w:color w:val="333333"/>
                <w:sz w:val="20"/>
                <w:szCs w:val="20"/>
                <w:lang w:val="en-US"/>
              </w:rPr>
            </w:pPr>
            <w:hyperlink r:id="rId32" w:tooltip="32009R0641" w:history="1">
              <w:r w:rsidR="007316D9" w:rsidRPr="007316D9">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65E95EF9" w14:textId="77777777" w:rsidR="00404625" w:rsidRPr="006D7504" w:rsidRDefault="00404625" w:rsidP="00112048">
            <w:pPr>
              <w:pStyle w:val="norm"/>
              <w:shd w:val="clear" w:color="auto" w:fill="FFFFFF"/>
              <w:spacing w:before="0" w:beforeAutospacing="0" w:after="0" w:afterAutospacing="0"/>
              <w:ind w:firstLine="709"/>
              <w:jc w:val="both"/>
              <w:rPr>
                <w:sz w:val="20"/>
                <w:szCs w:val="20"/>
                <w:lang w:val="en-US"/>
              </w:rPr>
            </w:pPr>
          </w:p>
        </w:tc>
        <w:tc>
          <w:tcPr>
            <w:tcW w:w="1276" w:type="dxa"/>
            <w:shd w:val="clear" w:color="auto" w:fill="auto"/>
          </w:tcPr>
          <w:p w14:paraId="24396C5F" w14:textId="49FF4623" w:rsidR="00F30A80" w:rsidRPr="00C951E7" w:rsidRDefault="00F30A80" w:rsidP="00F30A80">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p w14:paraId="44ED62F4" w14:textId="38D6D1BF" w:rsidR="00404625" w:rsidRPr="00C951E7" w:rsidRDefault="00404625" w:rsidP="00112048">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1FA0514" w14:textId="77777777" w:rsidR="00404625" w:rsidRPr="00AC24A4" w:rsidRDefault="00404625"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FA1B352" w14:textId="3B5A8601" w:rsidR="00404625" w:rsidRPr="00AC24A4" w:rsidRDefault="004379C5"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Prevederile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în Regulamentul cu privire la cerințele de proiectare ecologică aplicabile 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251962D5" w14:textId="77777777" w:rsidR="004379C5" w:rsidRPr="003F755D" w:rsidRDefault="004379C5" w:rsidP="004379C5">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9692F94" w14:textId="77777777" w:rsidR="00404625" w:rsidRPr="00F77CAB" w:rsidRDefault="00404625" w:rsidP="00112048">
            <w:pPr>
              <w:autoSpaceDE w:val="0"/>
              <w:spacing w:after="0" w:line="240" w:lineRule="auto"/>
              <w:rPr>
                <w:rFonts w:ascii="Times New Roman" w:hAnsi="Times New Roman"/>
                <w:sz w:val="20"/>
                <w:szCs w:val="20"/>
                <w:lang w:val="en-US"/>
              </w:rPr>
            </w:pPr>
          </w:p>
        </w:tc>
      </w:tr>
      <w:tr w:rsidR="00404625" w:rsidRPr="00462A92" w14:paraId="24EAF6F6" w14:textId="77777777" w:rsidTr="00340B94">
        <w:trPr>
          <w:trHeight w:val="558"/>
        </w:trPr>
        <w:tc>
          <w:tcPr>
            <w:tcW w:w="4957" w:type="dxa"/>
            <w:shd w:val="clear" w:color="auto" w:fill="auto"/>
          </w:tcPr>
          <w:p w14:paraId="7135D425" w14:textId="77777777" w:rsidR="007316D9" w:rsidRPr="000469A9" w:rsidRDefault="007316D9" w:rsidP="007316D9">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469A9">
              <w:rPr>
                <w:rFonts w:eastAsia="Arial Unicode MS"/>
                <w:i/>
                <w:iCs/>
                <w:color w:val="333333"/>
                <w:sz w:val="20"/>
                <w:szCs w:val="20"/>
                <w:shd w:val="clear" w:color="auto" w:fill="FFFFFF"/>
                <w:lang w:val="en-US"/>
              </w:rPr>
              <w:t>ANEXA IV</w:t>
            </w:r>
          </w:p>
          <w:p w14:paraId="043042D7" w14:textId="77777777" w:rsidR="007316D9" w:rsidRPr="000469A9" w:rsidRDefault="007316D9" w:rsidP="007316D9">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0469A9">
              <w:rPr>
                <w:rFonts w:eastAsia="Arial Unicode MS"/>
                <w:b/>
                <w:bCs/>
                <w:color w:val="333333"/>
                <w:sz w:val="20"/>
                <w:szCs w:val="20"/>
                <w:shd w:val="clear" w:color="auto" w:fill="FFFFFF"/>
                <w:lang w:val="en-US"/>
              </w:rPr>
              <w:t>VALORI INDICATIVE DE REFERINȚĂ</w:t>
            </w:r>
          </w:p>
          <w:p w14:paraId="66B72E47" w14:textId="33A1AB8C" w:rsidR="007316D9" w:rsidRPr="007316D9" w:rsidRDefault="007316D9" w:rsidP="007316D9">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r w:rsidRPr="007316D9">
              <w:rPr>
                <w:rFonts w:eastAsia="Arial Unicode MS"/>
                <w:color w:val="333333"/>
                <w:sz w:val="20"/>
                <w:szCs w:val="20"/>
                <w:shd w:val="clear" w:color="auto" w:fill="FFFFFF"/>
                <w:lang w:val="en-US"/>
              </w:rPr>
              <w:t>La data adoptării prezentului regulament, valoarea de referință pentru cea mai bună tehnologie disponibilă pe piață în ceea ce privește pompele de circulație este indicele de eficiență energetică: EEI ≤ 0,20.</w:t>
            </w:r>
          </w:p>
        </w:tc>
        <w:tc>
          <w:tcPr>
            <w:tcW w:w="4394" w:type="dxa"/>
            <w:shd w:val="clear" w:color="auto" w:fill="auto"/>
          </w:tcPr>
          <w:p w14:paraId="1C7736DB" w14:textId="77777777" w:rsidR="00404625" w:rsidRPr="006D7504" w:rsidRDefault="00404625" w:rsidP="00112048">
            <w:pPr>
              <w:pStyle w:val="norm"/>
              <w:shd w:val="clear" w:color="auto" w:fill="FFFFFF"/>
              <w:spacing w:before="0" w:beforeAutospacing="0" w:after="0" w:afterAutospacing="0"/>
              <w:ind w:firstLine="709"/>
              <w:jc w:val="both"/>
              <w:rPr>
                <w:sz w:val="20"/>
                <w:szCs w:val="20"/>
                <w:lang w:val="en-US"/>
              </w:rPr>
            </w:pPr>
          </w:p>
        </w:tc>
        <w:tc>
          <w:tcPr>
            <w:tcW w:w="1276" w:type="dxa"/>
            <w:shd w:val="clear" w:color="auto" w:fill="auto"/>
          </w:tcPr>
          <w:p w14:paraId="248039F7" w14:textId="528AB3ED" w:rsidR="00404625" w:rsidRPr="00C951E7" w:rsidRDefault="00F30A80" w:rsidP="00122619">
            <w:pPr>
              <w:spacing w:after="0" w:line="240" w:lineRule="auto"/>
              <w:jc w:val="center"/>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t>Prevederi UE netranspuse</w:t>
            </w:r>
          </w:p>
        </w:tc>
        <w:tc>
          <w:tcPr>
            <w:tcW w:w="1275" w:type="dxa"/>
            <w:shd w:val="clear" w:color="auto" w:fill="auto"/>
          </w:tcPr>
          <w:p w14:paraId="663C7A5E" w14:textId="77777777" w:rsidR="00404625" w:rsidRPr="00AC24A4" w:rsidRDefault="00404625"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92F467C" w14:textId="3F76694E" w:rsidR="00404625" w:rsidRPr="00AC24A4" w:rsidRDefault="004379C5" w:rsidP="00925A21">
            <w:pPr>
              <w:autoSpaceDE w:val="0"/>
              <w:spacing w:after="0" w:line="240" w:lineRule="auto"/>
              <w:rPr>
                <w:rFonts w:ascii="Times New Roman" w:eastAsia="Times New Roman" w:hAnsi="Times New Roman"/>
                <w:sz w:val="20"/>
                <w:szCs w:val="20"/>
                <w:lang w:val="ro-RO"/>
              </w:rPr>
            </w:pPr>
            <w:r>
              <w:rPr>
                <w:rFonts w:ascii="Times New Roman" w:eastAsia="Times New Roman" w:hAnsi="Times New Roman"/>
                <w:color w:val="000000" w:themeColor="text1"/>
                <w:sz w:val="20"/>
                <w:szCs w:val="20"/>
                <w:lang w:val="ro-RO" w:eastAsia="ru-RU"/>
              </w:rPr>
              <w:t xml:space="preserve">Prevederile </w:t>
            </w:r>
            <w:r w:rsidRPr="00832B2D">
              <w:rPr>
                <w:rFonts w:ascii="Times New Roman" w:eastAsia="Times New Roman" w:hAnsi="Times New Roman"/>
                <w:color w:val="000000" w:themeColor="text1"/>
                <w:sz w:val="20"/>
                <w:szCs w:val="20"/>
                <w:lang w:val="ro-RO" w:eastAsia="ru-RU"/>
              </w:rPr>
              <w:t xml:space="preserve">sunt transpuse </w:t>
            </w:r>
            <w:r w:rsidRPr="00832B2D">
              <w:rPr>
                <w:rFonts w:ascii="Times New Roman" w:eastAsia="Times New Roman" w:hAnsi="Times New Roman"/>
                <w:color w:val="000000" w:themeColor="text1"/>
                <w:sz w:val="20"/>
                <w:szCs w:val="20"/>
                <w:lang w:val="ro-RO" w:eastAsia="ro-RO"/>
              </w:rPr>
              <w:t xml:space="preserve">în Regulamentul cu privire la cerințele de proiectare ecologică aplicabile </w:t>
            </w:r>
            <w:r w:rsidRPr="00832B2D">
              <w:rPr>
                <w:rFonts w:ascii="Times New Roman" w:eastAsia="Times New Roman" w:hAnsi="Times New Roman"/>
                <w:color w:val="000000" w:themeColor="text1"/>
                <w:sz w:val="20"/>
                <w:szCs w:val="20"/>
                <w:lang w:val="ro-RO" w:eastAsia="ro-RO"/>
              </w:rPr>
              <w:lastRenderedPageBreak/>
              <w:t>pompelor de circulație fără etanșare independente și pompelor de circulație fără etanșare integrate în produse din Anexa nr.14  Hotărîrii de Guvern nr. 750 din 13 iunie 2016</w:t>
            </w:r>
            <w:r>
              <w:rPr>
                <w:rFonts w:ascii="Times New Roman" w:eastAsia="Times New Roman" w:hAnsi="Times New Roman"/>
                <w:color w:val="000000" w:themeColor="text1"/>
                <w:sz w:val="20"/>
                <w:szCs w:val="20"/>
                <w:lang w:val="ro-RO" w:eastAsia="ro-RO"/>
              </w:rPr>
              <w:t>.</w:t>
            </w:r>
          </w:p>
        </w:tc>
        <w:tc>
          <w:tcPr>
            <w:tcW w:w="1464" w:type="dxa"/>
            <w:shd w:val="clear" w:color="auto" w:fill="auto"/>
          </w:tcPr>
          <w:p w14:paraId="26100B83" w14:textId="77777777" w:rsidR="004379C5" w:rsidRPr="003F755D" w:rsidRDefault="004379C5" w:rsidP="004379C5">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65AFD0D2" w14:textId="77777777" w:rsidR="00404625" w:rsidRPr="00F77CAB" w:rsidRDefault="00404625" w:rsidP="00112048">
            <w:pPr>
              <w:autoSpaceDE w:val="0"/>
              <w:spacing w:after="0" w:line="240" w:lineRule="auto"/>
              <w:rPr>
                <w:rFonts w:ascii="Times New Roman" w:hAnsi="Times New Roman"/>
                <w:sz w:val="20"/>
                <w:szCs w:val="20"/>
                <w:lang w:val="en-US"/>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8759DA">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10296" w14:textId="77777777" w:rsidR="00C43796" w:rsidRDefault="00C43796">
      <w:pPr>
        <w:spacing w:after="0" w:line="240" w:lineRule="auto"/>
      </w:pPr>
      <w:r>
        <w:separator/>
      </w:r>
    </w:p>
  </w:endnote>
  <w:endnote w:type="continuationSeparator" w:id="0">
    <w:p w14:paraId="3C9071B0" w14:textId="77777777" w:rsidR="00C43796" w:rsidRDefault="00C43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F3172" w14:textId="77777777" w:rsidR="00C43796" w:rsidRDefault="00C43796">
      <w:pPr>
        <w:spacing w:after="0" w:line="240" w:lineRule="auto"/>
      </w:pPr>
      <w:r>
        <w:rPr>
          <w:color w:val="000000"/>
        </w:rPr>
        <w:separator/>
      </w:r>
    </w:p>
  </w:footnote>
  <w:footnote w:type="continuationSeparator" w:id="0">
    <w:p w14:paraId="1362376D" w14:textId="77777777" w:rsidR="00C43796" w:rsidRDefault="00C437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80808"/>
    <w:multiLevelType w:val="hybridMultilevel"/>
    <w:tmpl w:val="8FC8552C"/>
    <w:lvl w:ilvl="0" w:tplc="2DB61A7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632875"/>
    <w:multiLevelType w:val="hybridMultilevel"/>
    <w:tmpl w:val="0E52AEAA"/>
    <w:lvl w:ilvl="0" w:tplc="F20676FE">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791A4E"/>
    <w:multiLevelType w:val="hybridMultilevel"/>
    <w:tmpl w:val="BC2C7AAA"/>
    <w:lvl w:ilvl="0" w:tplc="5C442EDC">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6C5F90"/>
    <w:multiLevelType w:val="hybridMultilevel"/>
    <w:tmpl w:val="DA744600"/>
    <w:lvl w:ilvl="0" w:tplc="27C4FC28">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4" w15:restartNumberingAfterBreak="0">
    <w:nsid w:val="0D4667B8"/>
    <w:multiLevelType w:val="multilevel"/>
    <w:tmpl w:val="2DE40A94"/>
    <w:styleLink w:val="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E64AEE"/>
    <w:multiLevelType w:val="hybridMultilevel"/>
    <w:tmpl w:val="7076F676"/>
    <w:lvl w:ilvl="0" w:tplc="C32ABAD0">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65A4E"/>
    <w:multiLevelType w:val="hybridMultilevel"/>
    <w:tmpl w:val="0FA46A22"/>
    <w:lvl w:ilvl="0" w:tplc="343EA724">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C255C8"/>
    <w:multiLevelType w:val="multilevel"/>
    <w:tmpl w:val="787CC386"/>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9827AF"/>
    <w:multiLevelType w:val="hybridMultilevel"/>
    <w:tmpl w:val="3C225F3E"/>
    <w:lvl w:ilvl="0" w:tplc="A16C52C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DA51B8"/>
    <w:multiLevelType w:val="hybridMultilevel"/>
    <w:tmpl w:val="CDF6E3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3740A6"/>
    <w:multiLevelType w:val="multilevel"/>
    <w:tmpl w:val="3EF83D78"/>
    <w:styleLink w:va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E66472"/>
    <w:multiLevelType w:val="hybridMultilevel"/>
    <w:tmpl w:val="C5ACD5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5F023E7"/>
    <w:multiLevelType w:val="hybridMultilevel"/>
    <w:tmpl w:val="55587944"/>
    <w:lvl w:ilvl="0" w:tplc="9898A680">
      <w:start w:val="3"/>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582D95"/>
    <w:multiLevelType w:val="hybridMultilevel"/>
    <w:tmpl w:val="3EAA54D6"/>
    <w:lvl w:ilvl="0" w:tplc="FFFFFFFF">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B50CF8"/>
    <w:multiLevelType w:val="hybridMultilevel"/>
    <w:tmpl w:val="4440C1F0"/>
    <w:lvl w:ilvl="0" w:tplc="FC68C010">
      <w:start w:val="1"/>
      <w:numFmt w:val="lowerLetter"/>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5" w15:restartNumberingAfterBreak="0">
    <w:nsid w:val="45632477"/>
    <w:multiLevelType w:val="hybridMultilevel"/>
    <w:tmpl w:val="356276DE"/>
    <w:lvl w:ilvl="0" w:tplc="BED8DDF0">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6E90D29"/>
    <w:multiLevelType w:val="hybridMultilevel"/>
    <w:tmpl w:val="F28A5FAC"/>
    <w:lvl w:ilvl="0" w:tplc="E7961028">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EC437E"/>
    <w:multiLevelType w:val="hybridMultilevel"/>
    <w:tmpl w:val="F4480932"/>
    <w:lvl w:ilvl="0" w:tplc="0418000F">
      <w:start w:val="1"/>
      <w:numFmt w:val="decimal"/>
      <w:lvlText w:val="%1."/>
      <w:lvlJc w:val="left"/>
      <w:pPr>
        <w:ind w:left="720" w:hanging="360"/>
      </w:p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8" w15:restartNumberingAfterBreak="0">
    <w:nsid w:val="56804452"/>
    <w:multiLevelType w:val="hybridMultilevel"/>
    <w:tmpl w:val="2B608C3E"/>
    <w:lvl w:ilvl="0" w:tplc="8F32084A">
      <w:start w:val="1"/>
      <w:numFmt w:val="decimal"/>
      <w:lvlText w:val="%1."/>
      <w:lvlJc w:val="left"/>
      <w:pPr>
        <w:ind w:left="720" w:hanging="360"/>
      </w:pPr>
      <w:rPr>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C1417B"/>
    <w:multiLevelType w:val="multilevel"/>
    <w:tmpl w:val="7CF8C0F6"/>
    <w:styleLink w:val="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3240FE"/>
    <w:multiLevelType w:val="hybridMultilevel"/>
    <w:tmpl w:val="2A6A91E0"/>
    <w:lvl w:ilvl="0" w:tplc="B3AEA6A0">
      <w:start w:val="2"/>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C76A49"/>
    <w:multiLevelType w:val="multilevel"/>
    <w:tmpl w:val="0484AA14"/>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08144B8"/>
    <w:multiLevelType w:val="hybridMultilevel"/>
    <w:tmpl w:val="1F487C8E"/>
    <w:lvl w:ilvl="0" w:tplc="F3AA7F58">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6836163"/>
    <w:multiLevelType w:val="multilevel"/>
    <w:tmpl w:val="260CF9D8"/>
    <w:styleLink w:val="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103447"/>
    <w:multiLevelType w:val="hybridMultilevel"/>
    <w:tmpl w:val="25F6A47E"/>
    <w:lvl w:ilvl="0" w:tplc="F1527236">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F2C10E9"/>
    <w:multiLevelType w:val="multilevel"/>
    <w:tmpl w:val="BA2CA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Unicode MS" w:eastAsia="Arial Unicode MS" w:hAnsi="Arial Unicode MS" w:cs="Arial Unicode M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3"/>
  </w:num>
  <w:num w:numId="3">
    <w:abstractNumId w:val="14"/>
  </w:num>
  <w:num w:numId="4">
    <w:abstractNumId w:val="17"/>
  </w:num>
  <w:num w:numId="5">
    <w:abstractNumId w:val="9"/>
  </w:num>
  <w:num w:numId="6">
    <w:abstractNumId w:val="5"/>
  </w:num>
  <w:num w:numId="7">
    <w:abstractNumId w:val="18"/>
  </w:num>
  <w:num w:numId="8">
    <w:abstractNumId w:val="22"/>
  </w:num>
  <w:num w:numId="9">
    <w:abstractNumId w:val="6"/>
  </w:num>
  <w:num w:numId="10">
    <w:abstractNumId w:val="15"/>
  </w:num>
  <w:num w:numId="11">
    <w:abstractNumId w:val="20"/>
  </w:num>
  <w:num w:numId="12">
    <w:abstractNumId w:val="21"/>
  </w:num>
  <w:num w:numId="13">
    <w:abstractNumId w:val="2"/>
  </w:num>
  <w:num w:numId="14">
    <w:abstractNumId w:val="10"/>
  </w:num>
  <w:num w:numId="15">
    <w:abstractNumId w:val="13"/>
  </w:num>
  <w:num w:numId="16">
    <w:abstractNumId w:val="0"/>
  </w:num>
  <w:num w:numId="17">
    <w:abstractNumId w:val="19"/>
  </w:num>
  <w:num w:numId="18">
    <w:abstractNumId w:val="8"/>
  </w:num>
  <w:num w:numId="19">
    <w:abstractNumId w:val="23"/>
  </w:num>
  <w:num w:numId="20">
    <w:abstractNumId w:val="1"/>
  </w:num>
  <w:num w:numId="21">
    <w:abstractNumId w:val="7"/>
  </w:num>
  <w:num w:numId="22">
    <w:abstractNumId w:val="16"/>
  </w:num>
  <w:num w:numId="23">
    <w:abstractNumId w:val="24"/>
  </w:num>
  <w:num w:numId="24">
    <w:abstractNumId w:val="12"/>
  </w:num>
  <w:num w:numId="25">
    <w:abstractNumId w:val="4"/>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0CC5"/>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B6C"/>
    <w:rsid w:val="00033E43"/>
    <w:rsid w:val="00033E86"/>
    <w:rsid w:val="00034426"/>
    <w:rsid w:val="000347FD"/>
    <w:rsid w:val="00035B3F"/>
    <w:rsid w:val="00035BC6"/>
    <w:rsid w:val="00035CC2"/>
    <w:rsid w:val="00035CE3"/>
    <w:rsid w:val="00036DA0"/>
    <w:rsid w:val="00036DF7"/>
    <w:rsid w:val="000371BC"/>
    <w:rsid w:val="00041ABB"/>
    <w:rsid w:val="00041BC5"/>
    <w:rsid w:val="00041F55"/>
    <w:rsid w:val="000420C5"/>
    <w:rsid w:val="000440D5"/>
    <w:rsid w:val="0004413F"/>
    <w:rsid w:val="000442CB"/>
    <w:rsid w:val="000447E6"/>
    <w:rsid w:val="00045316"/>
    <w:rsid w:val="0004558D"/>
    <w:rsid w:val="00045B61"/>
    <w:rsid w:val="00046165"/>
    <w:rsid w:val="0004680F"/>
    <w:rsid w:val="000469A9"/>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113F"/>
    <w:rsid w:val="00072145"/>
    <w:rsid w:val="00072D0E"/>
    <w:rsid w:val="0007374D"/>
    <w:rsid w:val="0007383B"/>
    <w:rsid w:val="00073C22"/>
    <w:rsid w:val="00073CD7"/>
    <w:rsid w:val="00074551"/>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4E4C"/>
    <w:rsid w:val="000951BC"/>
    <w:rsid w:val="00095C17"/>
    <w:rsid w:val="00095CB7"/>
    <w:rsid w:val="0009639C"/>
    <w:rsid w:val="000A01BB"/>
    <w:rsid w:val="000A0808"/>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0DDA"/>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3DBA"/>
    <w:rsid w:val="000E41E8"/>
    <w:rsid w:val="000E51F2"/>
    <w:rsid w:val="000E53A6"/>
    <w:rsid w:val="000E5743"/>
    <w:rsid w:val="000E6648"/>
    <w:rsid w:val="000E6708"/>
    <w:rsid w:val="000E6C67"/>
    <w:rsid w:val="000E7318"/>
    <w:rsid w:val="000F008D"/>
    <w:rsid w:val="000F01E9"/>
    <w:rsid w:val="000F02FD"/>
    <w:rsid w:val="000F0974"/>
    <w:rsid w:val="000F0B26"/>
    <w:rsid w:val="000F176F"/>
    <w:rsid w:val="000F222C"/>
    <w:rsid w:val="000F2A07"/>
    <w:rsid w:val="000F3423"/>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2048"/>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619"/>
    <w:rsid w:val="0012291F"/>
    <w:rsid w:val="001231B3"/>
    <w:rsid w:val="00123955"/>
    <w:rsid w:val="00125308"/>
    <w:rsid w:val="001257F6"/>
    <w:rsid w:val="00125DC9"/>
    <w:rsid w:val="00126629"/>
    <w:rsid w:val="0012754A"/>
    <w:rsid w:val="00130566"/>
    <w:rsid w:val="00130845"/>
    <w:rsid w:val="00131453"/>
    <w:rsid w:val="001316A4"/>
    <w:rsid w:val="00131D1A"/>
    <w:rsid w:val="00134FE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60FF"/>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7F61"/>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0BBD"/>
    <w:rsid w:val="001B170B"/>
    <w:rsid w:val="001B185D"/>
    <w:rsid w:val="001B1B7C"/>
    <w:rsid w:val="001B1CA0"/>
    <w:rsid w:val="001B2273"/>
    <w:rsid w:val="001B3475"/>
    <w:rsid w:val="001B3814"/>
    <w:rsid w:val="001B385C"/>
    <w:rsid w:val="001B433C"/>
    <w:rsid w:val="001B45DC"/>
    <w:rsid w:val="001B4671"/>
    <w:rsid w:val="001B49B8"/>
    <w:rsid w:val="001B71DA"/>
    <w:rsid w:val="001C0DF6"/>
    <w:rsid w:val="001C1227"/>
    <w:rsid w:val="001C1E74"/>
    <w:rsid w:val="001C1F0B"/>
    <w:rsid w:val="001C3216"/>
    <w:rsid w:val="001C32D7"/>
    <w:rsid w:val="001C39D5"/>
    <w:rsid w:val="001C421C"/>
    <w:rsid w:val="001C47FD"/>
    <w:rsid w:val="001C6261"/>
    <w:rsid w:val="001C74CD"/>
    <w:rsid w:val="001C775F"/>
    <w:rsid w:val="001C7ADC"/>
    <w:rsid w:val="001D0173"/>
    <w:rsid w:val="001D0279"/>
    <w:rsid w:val="001D04EC"/>
    <w:rsid w:val="001D1E03"/>
    <w:rsid w:val="001D1F21"/>
    <w:rsid w:val="001D2563"/>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5E"/>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5F00"/>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4BF1"/>
    <w:rsid w:val="00225066"/>
    <w:rsid w:val="0022560B"/>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378CC"/>
    <w:rsid w:val="0024097A"/>
    <w:rsid w:val="00242B88"/>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386"/>
    <w:rsid w:val="00274A7F"/>
    <w:rsid w:val="002758A5"/>
    <w:rsid w:val="00276630"/>
    <w:rsid w:val="002769D2"/>
    <w:rsid w:val="00277412"/>
    <w:rsid w:val="00280E24"/>
    <w:rsid w:val="0028102A"/>
    <w:rsid w:val="002812B7"/>
    <w:rsid w:val="0028223F"/>
    <w:rsid w:val="00282519"/>
    <w:rsid w:val="002826B1"/>
    <w:rsid w:val="002828AF"/>
    <w:rsid w:val="00283DD2"/>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570D"/>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964"/>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5FCF"/>
    <w:rsid w:val="003063EC"/>
    <w:rsid w:val="0031048F"/>
    <w:rsid w:val="00310744"/>
    <w:rsid w:val="00310B30"/>
    <w:rsid w:val="003123AE"/>
    <w:rsid w:val="00312CF3"/>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6DB"/>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800"/>
    <w:rsid w:val="003858F8"/>
    <w:rsid w:val="00386E2D"/>
    <w:rsid w:val="00390C09"/>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58D5"/>
    <w:rsid w:val="003A5EEC"/>
    <w:rsid w:val="003A75FB"/>
    <w:rsid w:val="003A7D83"/>
    <w:rsid w:val="003A7E7E"/>
    <w:rsid w:val="003B0805"/>
    <w:rsid w:val="003B0E0A"/>
    <w:rsid w:val="003B11BA"/>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182D"/>
    <w:rsid w:val="00401976"/>
    <w:rsid w:val="004025DB"/>
    <w:rsid w:val="004027E6"/>
    <w:rsid w:val="00403033"/>
    <w:rsid w:val="004036E7"/>
    <w:rsid w:val="00404548"/>
    <w:rsid w:val="00404625"/>
    <w:rsid w:val="0040522D"/>
    <w:rsid w:val="00405E62"/>
    <w:rsid w:val="0040739A"/>
    <w:rsid w:val="00407914"/>
    <w:rsid w:val="00407D4D"/>
    <w:rsid w:val="00407E58"/>
    <w:rsid w:val="00410254"/>
    <w:rsid w:val="0041115F"/>
    <w:rsid w:val="00411A45"/>
    <w:rsid w:val="00411CD6"/>
    <w:rsid w:val="004122DD"/>
    <w:rsid w:val="00412F76"/>
    <w:rsid w:val="004134A6"/>
    <w:rsid w:val="00413B76"/>
    <w:rsid w:val="004149F0"/>
    <w:rsid w:val="00414A82"/>
    <w:rsid w:val="00416208"/>
    <w:rsid w:val="0041635A"/>
    <w:rsid w:val="004167F2"/>
    <w:rsid w:val="00416B37"/>
    <w:rsid w:val="00416B8D"/>
    <w:rsid w:val="00416E59"/>
    <w:rsid w:val="00417166"/>
    <w:rsid w:val="00417192"/>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9C5"/>
    <w:rsid w:val="00437A01"/>
    <w:rsid w:val="00440802"/>
    <w:rsid w:val="0044107F"/>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92"/>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5EC"/>
    <w:rsid w:val="004756E6"/>
    <w:rsid w:val="00475924"/>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0264"/>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9F8"/>
    <w:rsid w:val="004E0B0C"/>
    <w:rsid w:val="004E2834"/>
    <w:rsid w:val="004E28E1"/>
    <w:rsid w:val="004E33C3"/>
    <w:rsid w:val="004E3A7D"/>
    <w:rsid w:val="004E3F6C"/>
    <w:rsid w:val="004E4CC3"/>
    <w:rsid w:val="004E5B79"/>
    <w:rsid w:val="004E62D9"/>
    <w:rsid w:val="004E6437"/>
    <w:rsid w:val="004E6456"/>
    <w:rsid w:val="004E676A"/>
    <w:rsid w:val="004E70EE"/>
    <w:rsid w:val="004E73B5"/>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07C51"/>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119D"/>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916"/>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049"/>
    <w:rsid w:val="00575A53"/>
    <w:rsid w:val="005761A9"/>
    <w:rsid w:val="00576322"/>
    <w:rsid w:val="005766F2"/>
    <w:rsid w:val="00576974"/>
    <w:rsid w:val="00577F1C"/>
    <w:rsid w:val="005801B3"/>
    <w:rsid w:val="005803E0"/>
    <w:rsid w:val="00580C74"/>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29F3"/>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73AB"/>
    <w:rsid w:val="005B7768"/>
    <w:rsid w:val="005C06A0"/>
    <w:rsid w:val="005C0DD2"/>
    <w:rsid w:val="005C1421"/>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0487"/>
    <w:rsid w:val="005E1010"/>
    <w:rsid w:val="005E1706"/>
    <w:rsid w:val="005E23B4"/>
    <w:rsid w:val="005E2432"/>
    <w:rsid w:val="005E29CD"/>
    <w:rsid w:val="005E2BC9"/>
    <w:rsid w:val="005E2D87"/>
    <w:rsid w:val="005E2DEC"/>
    <w:rsid w:val="005E30C7"/>
    <w:rsid w:val="005E3EEB"/>
    <w:rsid w:val="005E52CF"/>
    <w:rsid w:val="005E6199"/>
    <w:rsid w:val="005E7827"/>
    <w:rsid w:val="005E7BC7"/>
    <w:rsid w:val="005E7D27"/>
    <w:rsid w:val="005F0EA2"/>
    <w:rsid w:val="005F15A2"/>
    <w:rsid w:val="005F1731"/>
    <w:rsid w:val="005F29C7"/>
    <w:rsid w:val="005F29D5"/>
    <w:rsid w:val="005F3380"/>
    <w:rsid w:val="005F3698"/>
    <w:rsid w:val="005F5181"/>
    <w:rsid w:val="005F579B"/>
    <w:rsid w:val="005F67BD"/>
    <w:rsid w:val="005F6D36"/>
    <w:rsid w:val="00600848"/>
    <w:rsid w:val="00600ABC"/>
    <w:rsid w:val="00601BB2"/>
    <w:rsid w:val="00602186"/>
    <w:rsid w:val="00602B26"/>
    <w:rsid w:val="00603697"/>
    <w:rsid w:val="00603821"/>
    <w:rsid w:val="0060406F"/>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2B2"/>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4329"/>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28C"/>
    <w:rsid w:val="00655E0A"/>
    <w:rsid w:val="00655E3A"/>
    <w:rsid w:val="00656D85"/>
    <w:rsid w:val="0065729E"/>
    <w:rsid w:val="00660CB1"/>
    <w:rsid w:val="00662133"/>
    <w:rsid w:val="00662973"/>
    <w:rsid w:val="006632F6"/>
    <w:rsid w:val="00663682"/>
    <w:rsid w:val="00663D14"/>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744"/>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1EF"/>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8C"/>
    <w:rsid w:val="006B6DA0"/>
    <w:rsid w:val="006B6F15"/>
    <w:rsid w:val="006B75A9"/>
    <w:rsid w:val="006B774A"/>
    <w:rsid w:val="006B7A2C"/>
    <w:rsid w:val="006B7BD8"/>
    <w:rsid w:val="006C0100"/>
    <w:rsid w:val="006C04C7"/>
    <w:rsid w:val="006C14F3"/>
    <w:rsid w:val="006C22FD"/>
    <w:rsid w:val="006C3DD7"/>
    <w:rsid w:val="006C43FB"/>
    <w:rsid w:val="006C4BD6"/>
    <w:rsid w:val="006C4F6B"/>
    <w:rsid w:val="006C5510"/>
    <w:rsid w:val="006C59DA"/>
    <w:rsid w:val="006C5D40"/>
    <w:rsid w:val="006C5F92"/>
    <w:rsid w:val="006C621B"/>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04"/>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45B5"/>
    <w:rsid w:val="00705876"/>
    <w:rsid w:val="00705D28"/>
    <w:rsid w:val="0070603D"/>
    <w:rsid w:val="00706358"/>
    <w:rsid w:val="0070658F"/>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17966"/>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16D9"/>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487"/>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2EDB"/>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0DFC"/>
    <w:rsid w:val="007A112A"/>
    <w:rsid w:val="007A19E8"/>
    <w:rsid w:val="007A1F6C"/>
    <w:rsid w:val="007A23ED"/>
    <w:rsid w:val="007A2B9D"/>
    <w:rsid w:val="007A31C9"/>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2DD"/>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186"/>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B2D"/>
    <w:rsid w:val="00832E0A"/>
    <w:rsid w:val="00833097"/>
    <w:rsid w:val="00833B02"/>
    <w:rsid w:val="00833D6D"/>
    <w:rsid w:val="0083402D"/>
    <w:rsid w:val="008347B5"/>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024"/>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D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056"/>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B82"/>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6733"/>
    <w:rsid w:val="008D733B"/>
    <w:rsid w:val="008E00D7"/>
    <w:rsid w:val="008E0F79"/>
    <w:rsid w:val="008E1FFE"/>
    <w:rsid w:val="008E264F"/>
    <w:rsid w:val="008E2BBA"/>
    <w:rsid w:val="008E2EA0"/>
    <w:rsid w:val="008E462C"/>
    <w:rsid w:val="008E4A96"/>
    <w:rsid w:val="008E4BDB"/>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8F72F6"/>
    <w:rsid w:val="009004E5"/>
    <w:rsid w:val="009012CE"/>
    <w:rsid w:val="009028DC"/>
    <w:rsid w:val="0090400F"/>
    <w:rsid w:val="00904AF4"/>
    <w:rsid w:val="00905298"/>
    <w:rsid w:val="00907528"/>
    <w:rsid w:val="00907E20"/>
    <w:rsid w:val="00907F45"/>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267"/>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16E5"/>
    <w:rsid w:val="00962160"/>
    <w:rsid w:val="0096262B"/>
    <w:rsid w:val="00962EA8"/>
    <w:rsid w:val="00964904"/>
    <w:rsid w:val="00966C5A"/>
    <w:rsid w:val="00967560"/>
    <w:rsid w:val="00970628"/>
    <w:rsid w:val="00970B45"/>
    <w:rsid w:val="00970FA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6CA"/>
    <w:rsid w:val="009A07FD"/>
    <w:rsid w:val="009A1303"/>
    <w:rsid w:val="009A1E0A"/>
    <w:rsid w:val="009A24E7"/>
    <w:rsid w:val="009A277D"/>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5F24"/>
    <w:rsid w:val="009D665C"/>
    <w:rsid w:val="009E1433"/>
    <w:rsid w:val="009E217C"/>
    <w:rsid w:val="009E27ED"/>
    <w:rsid w:val="009E27FB"/>
    <w:rsid w:val="009E2BAF"/>
    <w:rsid w:val="009E321B"/>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7AF"/>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449A"/>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173"/>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4E9C"/>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3EC"/>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1849"/>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7A2"/>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12C5"/>
    <w:rsid w:val="00AF21BA"/>
    <w:rsid w:val="00AF36B5"/>
    <w:rsid w:val="00AF4116"/>
    <w:rsid w:val="00AF507D"/>
    <w:rsid w:val="00AF5200"/>
    <w:rsid w:val="00AF5EB3"/>
    <w:rsid w:val="00AF670F"/>
    <w:rsid w:val="00AF7167"/>
    <w:rsid w:val="00AF71BD"/>
    <w:rsid w:val="00AF75E8"/>
    <w:rsid w:val="00B007D0"/>
    <w:rsid w:val="00B00BB5"/>
    <w:rsid w:val="00B022DC"/>
    <w:rsid w:val="00B02501"/>
    <w:rsid w:val="00B02B4E"/>
    <w:rsid w:val="00B032AF"/>
    <w:rsid w:val="00B04186"/>
    <w:rsid w:val="00B04E90"/>
    <w:rsid w:val="00B05AF6"/>
    <w:rsid w:val="00B06269"/>
    <w:rsid w:val="00B072C2"/>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5B9"/>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47321"/>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E10"/>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A24"/>
    <w:rsid w:val="00BA1F81"/>
    <w:rsid w:val="00BA268E"/>
    <w:rsid w:val="00BA2A8E"/>
    <w:rsid w:val="00BA3452"/>
    <w:rsid w:val="00BA3759"/>
    <w:rsid w:val="00BA3EF3"/>
    <w:rsid w:val="00BA46F4"/>
    <w:rsid w:val="00BA616E"/>
    <w:rsid w:val="00BA6975"/>
    <w:rsid w:val="00BA6B48"/>
    <w:rsid w:val="00BA796F"/>
    <w:rsid w:val="00BA79F6"/>
    <w:rsid w:val="00BB066D"/>
    <w:rsid w:val="00BB1AF5"/>
    <w:rsid w:val="00BB2195"/>
    <w:rsid w:val="00BB3085"/>
    <w:rsid w:val="00BB416A"/>
    <w:rsid w:val="00BB4924"/>
    <w:rsid w:val="00BB4D3F"/>
    <w:rsid w:val="00BB5595"/>
    <w:rsid w:val="00BB5846"/>
    <w:rsid w:val="00BB5D89"/>
    <w:rsid w:val="00BB5E02"/>
    <w:rsid w:val="00BB61AE"/>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18D"/>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21C"/>
    <w:rsid w:val="00BE74CA"/>
    <w:rsid w:val="00BE7B63"/>
    <w:rsid w:val="00BE7CCE"/>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A74"/>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36F"/>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754"/>
    <w:rsid w:val="00C43796"/>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2B"/>
    <w:rsid w:val="00C820CD"/>
    <w:rsid w:val="00C82AE8"/>
    <w:rsid w:val="00C82C75"/>
    <w:rsid w:val="00C83010"/>
    <w:rsid w:val="00C83E6E"/>
    <w:rsid w:val="00C83FAD"/>
    <w:rsid w:val="00C84073"/>
    <w:rsid w:val="00C84630"/>
    <w:rsid w:val="00C8594B"/>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4D05"/>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5CC6"/>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B94"/>
    <w:rsid w:val="00DA0F37"/>
    <w:rsid w:val="00DA1BCF"/>
    <w:rsid w:val="00DA25A8"/>
    <w:rsid w:val="00DA2AA6"/>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5664"/>
    <w:rsid w:val="00DB6617"/>
    <w:rsid w:val="00DB6658"/>
    <w:rsid w:val="00DC139D"/>
    <w:rsid w:val="00DC155F"/>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BD8"/>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2F87"/>
    <w:rsid w:val="00E4313A"/>
    <w:rsid w:val="00E4338B"/>
    <w:rsid w:val="00E43789"/>
    <w:rsid w:val="00E43B0A"/>
    <w:rsid w:val="00E445D5"/>
    <w:rsid w:val="00E448C6"/>
    <w:rsid w:val="00E44E7B"/>
    <w:rsid w:val="00E452C3"/>
    <w:rsid w:val="00E45CA9"/>
    <w:rsid w:val="00E45E3A"/>
    <w:rsid w:val="00E461B1"/>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1D"/>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5EC"/>
    <w:rsid w:val="00EA77C6"/>
    <w:rsid w:val="00EA79A4"/>
    <w:rsid w:val="00EA7CB6"/>
    <w:rsid w:val="00EB1971"/>
    <w:rsid w:val="00EB1B1F"/>
    <w:rsid w:val="00EB2A8C"/>
    <w:rsid w:val="00EB3E33"/>
    <w:rsid w:val="00EB48F1"/>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257E"/>
    <w:rsid w:val="00ED3A3F"/>
    <w:rsid w:val="00ED4345"/>
    <w:rsid w:val="00ED6026"/>
    <w:rsid w:val="00ED680B"/>
    <w:rsid w:val="00ED6FBF"/>
    <w:rsid w:val="00ED7D8C"/>
    <w:rsid w:val="00ED7FF9"/>
    <w:rsid w:val="00EE0A75"/>
    <w:rsid w:val="00EE0DD4"/>
    <w:rsid w:val="00EE1000"/>
    <w:rsid w:val="00EE149B"/>
    <w:rsid w:val="00EE2C64"/>
    <w:rsid w:val="00EE2EF5"/>
    <w:rsid w:val="00EE3771"/>
    <w:rsid w:val="00EE3BB3"/>
    <w:rsid w:val="00EE434D"/>
    <w:rsid w:val="00EE4A9A"/>
    <w:rsid w:val="00EE6E72"/>
    <w:rsid w:val="00EE6EA4"/>
    <w:rsid w:val="00EF0DA2"/>
    <w:rsid w:val="00EF1429"/>
    <w:rsid w:val="00EF1FC3"/>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0A80"/>
    <w:rsid w:val="00F31477"/>
    <w:rsid w:val="00F3170B"/>
    <w:rsid w:val="00F319E7"/>
    <w:rsid w:val="00F319FA"/>
    <w:rsid w:val="00F32B16"/>
    <w:rsid w:val="00F34863"/>
    <w:rsid w:val="00F348FA"/>
    <w:rsid w:val="00F34A84"/>
    <w:rsid w:val="00F416FA"/>
    <w:rsid w:val="00F419DA"/>
    <w:rsid w:val="00F41E9E"/>
    <w:rsid w:val="00F428E0"/>
    <w:rsid w:val="00F4307B"/>
    <w:rsid w:val="00F43881"/>
    <w:rsid w:val="00F43BC4"/>
    <w:rsid w:val="00F4517A"/>
    <w:rsid w:val="00F45BA5"/>
    <w:rsid w:val="00F46059"/>
    <w:rsid w:val="00F46865"/>
    <w:rsid w:val="00F4743A"/>
    <w:rsid w:val="00F47E24"/>
    <w:rsid w:val="00F50BC2"/>
    <w:rsid w:val="00F50DBD"/>
    <w:rsid w:val="00F51DA5"/>
    <w:rsid w:val="00F51DD5"/>
    <w:rsid w:val="00F52BCC"/>
    <w:rsid w:val="00F5326B"/>
    <w:rsid w:val="00F532D5"/>
    <w:rsid w:val="00F540EE"/>
    <w:rsid w:val="00F541A8"/>
    <w:rsid w:val="00F55D51"/>
    <w:rsid w:val="00F55E68"/>
    <w:rsid w:val="00F5601B"/>
    <w:rsid w:val="00F56877"/>
    <w:rsid w:val="00F56DA3"/>
    <w:rsid w:val="00F5747E"/>
    <w:rsid w:val="00F57F9A"/>
    <w:rsid w:val="00F60210"/>
    <w:rsid w:val="00F60510"/>
    <w:rsid w:val="00F60F85"/>
    <w:rsid w:val="00F61309"/>
    <w:rsid w:val="00F6150F"/>
    <w:rsid w:val="00F61B5F"/>
    <w:rsid w:val="00F61C21"/>
    <w:rsid w:val="00F62366"/>
    <w:rsid w:val="00F63461"/>
    <w:rsid w:val="00F63804"/>
    <w:rsid w:val="00F63E4B"/>
    <w:rsid w:val="00F641C2"/>
    <w:rsid w:val="00F65851"/>
    <w:rsid w:val="00F66970"/>
    <w:rsid w:val="00F66D43"/>
    <w:rsid w:val="00F66D5D"/>
    <w:rsid w:val="00F67565"/>
    <w:rsid w:val="00F700EF"/>
    <w:rsid w:val="00F70B51"/>
    <w:rsid w:val="00F71261"/>
    <w:rsid w:val="00F72103"/>
    <w:rsid w:val="00F722CE"/>
    <w:rsid w:val="00F73484"/>
    <w:rsid w:val="00F737AD"/>
    <w:rsid w:val="00F73C0B"/>
    <w:rsid w:val="00F73E88"/>
    <w:rsid w:val="00F74A86"/>
    <w:rsid w:val="00F75D0A"/>
    <w:rsid w:val="00F76F25"/>
    <w:rsid w:val="00F77A10"/>
    <w:rsid w:val="00F77BEC"/>
    <w:rsid w:val="00F77CAB"/>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02B"/>
    <w:rsid w:val="00FA4774"/>
    <w:rsid w:val="00FA4976"/>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52119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itle-gr-seq-level-2">
    <w:name w:val="title-gr-seq-level-2"/>
    <w:basedOn w:val="Normal"/>
    <w:rsid w:val="001B0BB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9A277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a">
    <w:basedOn w:val="Normal"/>
    <w:next w:val="NormalWeb"/>
    <w:uiPriority w:val="99"/>
    <w:unhideWhenUsed/>
    <w:rsid w:val="00A0449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bl-left">
    <w:name w:val="tbl-left"/>
    <w:basedOn w:val="Normal"/>
    <w:rsid w:val="006C3DD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1">
    <w:name w:val="title-gr-seq-level-1"/>
    <w:basedOn w:val="Normal"/>
    <w:rsid w:val="000A080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numbering" w:customStyle="1" w:styleId="1">
    <w:name w:val="Текущий список1"/>
    <w:uiPriority w:val="99"/>
    <w:rsid w:val="00C43754"/>
    <w:pPr>
      <w:numPr>
        <w:numId w:val="12"/>
      </w:numPr>
    </w:pPr>
  </w:style>
  <w:style w:type="numbering" w:customStyle="1" w:styleId="2">
    <w:name w:val="Текущий список2"/>
    <w:uiPriority w:val="99"/>
    <w:rsid w:val="00534916"/>
    <w:pPr>
      <w:numPr>
        <w:numId w:val="14"/>
      </w:numPr>
    </w:pPr>
  </w:style>
  <w:style w:type="paragraph" w:customStyle="1" w:styleId="21">
    <w:name w:val="Список2"/>
    <w:basedOn w:val="Normal"/>
    <w:rsid w:val="0053491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3">
    <w:name w:val="Текущий список3"/>
    <w:uiPriority w:val="99"/>
    <w:rsid w:val="00534916"/>
    <w:pPr>
      <w:numPr>
        <w:numId w:val="17"/>
      </w:numPr>
    </w:pPr>
  </w:style>
  <w:style w:type="numbering" w:customStyle="1" w:styleId="4">
    <w:name w:val="Текущий список4"/>
    <w:uiPriority w:val="99"/>
    <w:rsid w:val="00534916"/>
    <w:pPr>
      <w:numPr>
        <w:numId w:val="19"/>
      </w:numPr>
    </w:pPr>
  </w:style>
  <w:style w:type="numbering" w:customStyle="1" w:styleId="5">
    <w:name w:val="Текущий список5"/>
    <w:uiPriority w:val="99"/>
    <w:rsid w:val="00534916"/>
    <w:pPr>
      <w:numPr>
        <w:numId w:val="21"/>
      </w:numPr>
    </w:pPr>
  </w:style>
  <w:style w:type="paragraph" w:customStyle="1" w:styleId="dlist-term">
    <w:name w:val="dlist-term"/>
    <w:basedOn w:val="Normal"/>
    <w:rsid w:val="003626D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dlist-definition">
    <w:name w:val="dlist-definition"/>
    <w:basedOn w:val="Normal"/>
    <w:rsid w:val="003626D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6">
    <w:name w:val="Текущий список6"/>
    <w:uiPriority w:val="99"/>
    <w:rsid w:val="003626DB"/>
    <w:pPr>
      <w:numPr>
        <w:numId w:val="25"/>
      </w:numPr>
    </w:pPr>
  </w:style>
  <w:style w:type="paragraph" w:styleId="Footer">
    <w:name w:val="footer"/>
    <w:basedOn w:val="Normal"/>
    <w:link w:val="FooterChar"/>
    <w:uiPriority w:val="99"/>
    <w:unhideWhenUsed/>
    <w:rsid w:val="007316D9"/>
    <w:pPr>
      <w:tabs>
        <w:tab w:val="center" w:pos="4677"/>
        <w:tab w:val="right" w:pos="9355"/>
      </w:tabs>
      <w:spacing w:after="0" w:line="240" w:lineRule="auto"/>
    </w:pPr>
  </w:style>
  <w:style w:type="character" w:customStyle="1" w:styleId="FooterChar">
    <w:name w:val="Footer Char"/>
    <w:basedOn w:val="DefaultParagraphFont"/>
    <w:link w:val="Footer"/>
    <w:uiPriority w:val="99"/>
    <w:rsid w:val="007316D9"/>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1938032">
      <w:bodyDiv w:val="1"/>
      <w:marLeft w:val="0"/>
      <w:marRight w:val="0"/>
      <w:marTop w:val="0"/>
      <w:marBottom w:val="0"/>
      <w:divBdr>
        <w:top w:val="none" w:sz="0" w:space="0" w:color="auto"/>
        <w:left w:val="none" w:sz="0" w:space="0" w:color="auto"/>
        <w:bottom w:val="none" w:sz="0" w:space="0" w:color="auto"/>
        <w:right w:val="none" w:sz="0" w:space="0" w:color="auto"/>
      </w:divBdr>
      <w:divsChild>
        <w:div w:id="1226531751">
          <w:marLeft w:val="0"/>
          <w:marRight w:val="0"/>
          <w:marTop w:val="0"/>
          <w:marBottom w:val="0"/>
          <w:divBdr>
            <w:top w:val="none" w:sz="0" w:space="0" w:color="auto"/>
            <w:left w:val="none" w:sz="0" w:space="0" w:color="auto"/>
            <w:bottom w:val="none" w:sz="0" w:space="0" w:color="auto"/>
            <w:right w:val="none" w:sz="0" w:space="0" w:color="auto"/>
          </w:divBdr>
          <w:divsChild>
            <w:div w:id="551230991">
              <w:marLeft w:val="0"/>
              <w:marRight w:val="0"/>
              <w:marTop w:val="0"/>
              <w:marBottom w:val="0"/>
              <w:divBdr>
                <w:top w:val="none" w:sz="0" w:space="0" w:color="auto"/>
                <w:left w:val="none" w:sz="0" w:space="0" w:color="auto"/>
                <w:bottom w:val="none" w:sz="0" w:space="0" w:color="auto"/>
                <w:right w:val="none" w:sz="0" w:space="0" w:color="auto"/>
              </w:divBdr>
            </w:div>
          </w:divsChild>
        </w:div>
        <w:div w:id="375085836">
          <w:marLeft w:val="0"/>
          <w:marRight w:val="0"/>
          <w:marTop w:val="0"/>
          <w:marBottom w:val="0"/>
          <w:divBdr>
            <w:top w:val="none" w:sz="0" w:space="0" w:color="auto"/>
            <w:left w:val="none" w:sz="0" w:space="0" w:color="auto"/>
            <w:bottom w:val="none" w:sz="0" w:space="0" w:color="auto"/>
            <w:right w:val="none" w:sz="0" w:space="0" w:color="auto"/>
          </w:divBdr>
          <w:divsChild>
            <w:div w:id="80721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4019811">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56002882">
      <w:bodyDiv w:val="1"/>
      <w:marLeft w:val="0"/>
      <w:marRight w:val="0"/>
      <w:marTop w:val="0"/>
      <w:marBottom w:val="0"/>
      <w:divBdr>
        <w:top w:val="none" w:sz="0" w:space="0" w:color="auto"/>
        <w:left w:val="none" w:sz="0" w:space="0" w:color="auto"/>
        <w:bottom w:val="none" w:sz="0" w:space="0" w:color="auto"/>
        <w:right w:val="none" w:sz="0" w:space="0" w:color="auto"/>
      </w:divBdr>
      <w:divsChild>
        <w:div w:id="816075245">
          <w:marLeft w:val="0"/>
          <w:marRight w:val="0"/>
          <w:marTop w:val="0"/>
          <w:marBottom w:val="0"/>
          <w:divBdr>
            <w:top w:val="none" w:sz="0" w:space="0" w:color="auto"/>
            <w:left w:val="none" w:sz="0" w:space="0" w:color="auto"/>
            <w:bottom w:val="none" w:sz="0" w:space="0" w:color="auto"/>
            <w:right w:val="none" w:sz="0" w:space="0" w:color="auto"/>
          </w:divBdr>
          <w:divsChild>
            <w:div w:id="91088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22603840">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38711774">
      <w:bodyDiv w:val="1"/>
      <w:marLeft w:val="0"/>
      <w:marRight w:val="0"/>
      <w:marTop w:val="0"/>
      <w:marBottom w:val="0"/>
      <w:divBdr>
        <w:top w:val="none" w:sz="0" w:space="0" w:color="auto"/>
        <w:left w:val="none" w:sz="0" w:space="0" w:color="auto"/>
        <w:bottom w:val="none" w:sz="0" w:space="0" w:color="auto"/>
        <w:right w:val="none" w:sz="0" w:space="0" w:color="auto"/>
      </w:divBdr>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21375851">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81130505">
      <w:bodyDiv w:val="1"/>
      <w:marLeft w:val="0"/>
      <w:marRight w:val="0"/>
      <w:marTop w:val="0"/>
      <w:marBottom w:val="0"/>
      <w:divBdr>
        <w:top w:val="none" w:sz="0" w:space="0" w:color="auto"/>
        <w:left w:val="none" w:sz="0" w:space="0" w:color="auto"/>
        <w:bottom w:val="none" w:sz="0" w:space="0" w:color="auto"/>
        <w:right w:val="none" w:sz="0" w:space="0" w:color="auto"/>
      </w:divBdr>
      <w:divsChild>
        <w:div w:id="668172019">
          <w:marLeft w:val="0"/>
          <w:marRight w:val="0"/>
          <w:marTop w:val="0"/>
          <w:marBottom w:val="0"/>
          <w:divBdr>
            <w:top w:val="none" w:sz="0" w:space="0" w:color="auto"/>
            <w:left w:val="none" w:sz="0" w:space="0" w:color="auto"/>
            <w:bottom w:val="none" w:sz="0" w:space="0" w:color="auto"/>
            <w:right w:val="none" w:sz="0" w:space="0" w:color="auto"/>
          </w:divBdr>
          <w:divsChild>
            <w:div w:id="586113529">
              <w:marLeft w:val="0"/>
              <w:marRight w:val="0"/>
              <w:marTop w:val="0"/>
              <w:marBottom w:val="0"/>
              <w:divBdr>
                <w:top w:val="none" w:sz="0" w:space="0" w:color="auto"/>
                <w:left w:val="none" w:sz="0" w:space="0" w:color="auto"/>
                <w:bottom w:val="none" w:sz="0" w:space="0" w:color="auto"/>
                <w:right w:val="none" w:sz="0" w:space="0" w:color="auto"/>
              </w:divBdr>
            </w:div>
          </w:divsChild>
        </w:div>
        <w:div w:id="1734308616">
          <w:marLeft w:val="0"/>
          <w:marRight w:val="0"/>
          <w:marTop w:val="0"/>
          <w:marBottom w:val="0"/>
          <w:divBdr>
            <w:top w:val="none" w:sz="0" w:space="0" w:color="auto"/>
            <w:left w:val="none" w:sz="0" w:space="0" w:color="auto"/>
            <w:bottom w:val="none" w:sz="0" w:space="0" w:color="auto"/>
            <w:right w:val="none" w:sz="0" w:space="0" w:color="auto"/>
          </w:divBdr>
        </w:div>
      </w:divsChild>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4392166">
      <w:bodyDiv w:val="1"/>
      <w:marLeft w:val="0"/>
      <w:marRight w:val="0"/>
      <w:marTop w:val="0"/>
      <w:marBottom w:val="0"/>
      <w:divBdr>
        <w:top w:val="none" w:sz="0" w:space="0" w:color="auto"/>
        <w:left w:val="none" w:sz="0" w:space="0" w:color="auto"/>
        <w:bottom w:val="none" w:sz="0" w:space="0" w:color="auto"/>
        <w:right w:val="none" w:sz="0" w:space="0" w:color="auto"/>
      </w:divBdr>
      <w:divsChild>
        <w:div w:id="1240598476">
          <w:marLeft w:val="0"/>
          <w:marRight w:val="0"/>
          <w:marTop w:val="0"/>
          <w:marBottom w:val="0"/>
          <w:divBdr>
            <w:top w:val="none" w:sz="0" w:space="0" w:color="auto"/>
            <w:left w:val="none" w:sz="0" w:space="0" w:color="auto"/>
            <w:bottom w:val="none" w:sz="0" w:space="0" w:color="auto"/>
            <w:right w:val="none" w:sz="0" w:space="0" w:color="auto"/>
          </w:divBdr>
          <w:divsChild>
            <w:div w:id="66008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6986304">
      <w:bodyDiv w:val="1"/>
      <w:marLeft w:val="0"/>
      <w:marRight w:val="0"/>
      <w:marTop w:val="0"/>
      <w:marBottom w:val="0"/>
      <w:divBdr>
        <w:top w:val="none" w:sz="0" w:space="0" w:color="auto"/>
        <w:left w:val="none" w:sz="0" w:space="0" w:color="auto"/>
        <w:bottom w:val="none" w:sz="0" w:space="0" w:color="auto"/>
        <w:right w:val="none" w:sz="0" w:space="0" w:color="auto"/>
      </w:divBdr>
    </w:div>
    <w:div w:id="887298831">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3222005">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19740300">
      <w:bodyDiv w:val="1"/>
      <w:marLeft w:val="0"/>
      <w:marRight w:val="0"/>
      <w:marTop w:val="0"/>
      <w:marBottom w:val="0"/>
      <w:divBdr>
        <w:top w:val="none" w:sz="0" w:space="0" w:color="auto"/>
        <w:left w:val="none" w:sz="0" w:space="0" w:color="auto"/>
        <w:bottom w:val="none" w:sz="0" w:space="0" w:color="auto"/>
        <w:right w:val="none" w:sz="0" w:space="0" w:color="auto"/>
      </w:divBdr>
      <w:divsChild>
        <w:div w:id="519899038">
          <w:marLeft w:val="0"/>
          <w:marRight w:val="0"/>
          <w:marTop w:val="0"/>
          <w:marBottom w:val="0"/>
          <w:divBdr>
            <w:top w:val="none" w:sz="0" w:space="0" w:color="auto"/>
            <w:left w:val="none" w:sz="0" w:space="0" w:color="auto"/>
            <w:bottom w:val="none" w:sz="0" w:space="0" w:color="auto"/>
            <w:right w:val="none" w:sz="0" w:space="0" w:color="auto"/>
          </w:divBdr>
          <w:divsChild>
            <w:div w:id="201499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119265">
      <w:bodyDiv w:val="1"/>
      <w:marLeft w:val="0"/>
      <w:marRight w:val="0"/>
      <w:marTop w:val="0"/>
      <w:marBottom w:val="0"/>
      <w:divBdr>
        <w:top w:val="none" w:sz="0" w:space="0" w:color="auto"/>
        <w:left w:val="none" w:sz="0" w:space="0" w:color="auto"/>
        <w:bottom w:val="none" w:sz="0" w:space="0" w:color="auto"/>
        <w:right w:val="none" w:sz="0" w:space="0" w:color="auto"/>
      </w:divBdr>
      <w:divsChild>
        <w:div w:id="862019622">
          <w:marLeft w:val="0"/>
          <w:marRight w:val="0"/>
          <w:marTop w:val="0"/>
          <w:marBottom w:val="0"/>
          <w:divBdr>
            <w:top w:val="none" w:sz="0" w:space="0" w:color="auto"/>
            <w:left w:val="none" w:sz="0" w:space="0" w:color="auto"/>
            <w:bottom w:val="none" w:sz="0" w:space="0" w:color="auto"/>
            <w:right w:val="none" w:sz="0" w:space="0" w:color="auto"/>
          </w:divBdr>
          <w:divsChild>
            <w:div w:id="652376167">
              <w:marLeft w:val="0"/>
              <w:marRight w:val="0"/>
              <w:marTop w:val="0"/>
              <w:marBottom w:val="0"/>
              <w:divBdr>
                <w:top w:val="none" w:sz="0" w:space="0" w:color="auto"/>
                <w:left w:val="none" w:sz="0" w:space="0" w:color="auto"/>
                <w:bottom w:val="none" w:sz="0" w:space="0" w:color="auto"/>
                <w:right w:val="none" w:sz="0" w:space="0" w:color="auto"/>
              </w:divBdr>
            </w:div>
          </w:divsChild>
        </w:div>
        <w:div w:id="1010721177">
          <w:marLeft w:val="0"/>
          <w:marRight w:val="0"/>
          <w:marTop w:val="0"/>
          <w:marBottom w:val="0"/>
          <w:divBdr>
            <w:top w:val="none" w:sz="0" w:space="0" w:color="auto"/>
            <w:left w:val="none" w:sz="0" w:space="0" w:color="auto"/>
            <w:bottom w:val="none" w:sz="0" w:space="0" w:color="auto"/>
            <w:right w:val="none" w:sz="0" w:space="0" w:color="auto"/>
          </w:divBdr>
        </w:div>
      </w:divsChild>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18724282">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2456445">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79880497">
      <w:bodyDiv w:val="1"/>
      <w:marLeft w:val="0"/>
      <w:marRight w:val="0"/>
      <w:marTop w:val="0"/>
      <w:marBottom w:val="0"/>
      <w:divBdr>
        <w:top w:val="none" w:sz="0" w:space="0" w:color="auto"/>
        <w:left w:val="none" w:sz="0" w:space="0" w:color="auto"/>
        <w:bottom w:val="none" w:sz="0" w:space="0" w:color="auto"/>
        <w:right w:val="none" w:sz="0" w:space="0" w:color="auto"/>
      </w:divBdr>
      <w:divsChild>
        <w:div w:id="362444410">
          <w:marLeft w:val="0"/>
          <w:marRight w:val="0"/>
          <w:marTop w:val="0"/>
          <w:marBottom w:val="0"/>
          <w:divBdr>
            <w:top w:val="none" w:sz="0" w:space="0" w:color="auto"/>
            <w:left w:val="none" w:sz="0" w:space="0" w:color="auto"/>
            <w:bottom w:val="none" w:sz="0" w:space="0" w:color="auto"/>
            <w:right w:val="none" w:sz="0" w:space="0" w:color="auto"/>
          </w:divBdr>
          <w:divsChild>
            <w:div w:id="170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1724097">
      <w:bodyDiv w:val="1"/>
      <w:marLeft w:val="0"/>
      <w:marRight w:val="0"/>
      <w:marTop w:val="0"/>
      <w:marBottom w:val="0"/>
      <w:divBdr>
        <w:top w:val="none" w:sz="0" w:space="0" w:color="auto"/>
        <w:left w:val="none" w:sz="0" w:space="0" w:color="auto"/>
        <w:bottom w:val="none" w:sz="0" w:space="0" w:color="auto"/>
        <w:right w:val="none" w:sz="0" w:space="0" w:color="auto"/>
      </w:divBdr>
      <w:divsChild>
        <w:div w:id="16471772">
          <w:marLeft w:val="0"/>
          <w:marRight w:val="0"/>
          <w:marTop w:val="0"/>
          <w:marBottom w:val="0"/>
          <w:divBdr>
            <w:top w:val="none" w:sz="0" w:space="0" w:color="auto"/>
            <w:left w:val="none" w:sz="0" w:space="0" w:color="auto"/>
            <w:bottom w:val="none" w:sz="0" w:space="0" w:color="auto"/>
            <w:right w:val="none" w:sz="0" w:space="0" w:color="auto"/>
          </w:divBdr>
          <w:divsChild>
            <w:div w:id="61571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1349895">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0566427">
      <w:bodyDiv w:val="1"/>
      <w:marLeft w:val="0"/>
      <w:marRight w:val="0"/>
      <w:marTop w:val="0"/>
      <w:marBottom w:val="0"/>
      <w:divBdr>
        <w:top w:val="none" w:sz="0" w:space="0" w:color="auto"/>
        <w:left w:val="none" w:sz="0" w:space="0" w:color="auto"/>
        <w:bottom w:val="none" w:sz="0" w:space="0" w:color="auto"/>
        <w:right w:val="none" w:sz="0" w:space="0" w:color="auto"/>
      </w:divBdr>
      <w:divsChild>
        <w:div w:id="2119836013">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66676607">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2954001">
      <w:bodyDiv w:val="1"/>
      <w:marLeft w:val="0"/>
      <w:marRight w:val="0"/>
      <w:marTop w:val="0"/>
      <w:marBottom w:val="0"/>
      <w:divBdr>
        <w:top w:val="none" w:sz="0" w:space="0" w:color="auto"/>
        <w:left w:val="none" w:sz="0" w:space="0" w:color="auto"/>
        <w:bottom w:val="none" w:sz="0" w:space="0" w:color="auto"/>
        <w:right w:val="none" w:sz="0" w:space="0" w:color="auto"/>
      </w:divBdr>
      <w:divsChild>
        <w:div w:id="493955478">
          <w:marLeft w:val="0"/>
          <w:marRight w:val="0"/>
          <w:marTop w:val="0"/>
          <w:marBottom w:val="0"/>
          <w:divBdr>
            <w:top w:val="none" w:sz="0" w:space="0" w:color="auto"/>
            <w:left w:val="none" w:sz="0" w:space="0" w:color="auto"/>
            <w:bottom w:val="none" w:sz="0" w:space="0" w:color="auto"/>
            <w:right w:val="none" w:sz="0" w:space="0" w:color="auto"/>
          </w:divBdr>
          <w:divsChild>
            <w:div w:id="172139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3660977">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1472">
      <w:bodyDiv w:val="1"/>
      <w:marLeft w:val="0"/>
      <w:marRight w:val="0"/>
      <w:marTop w:val="0"/>
      <w:marBottom w:val="0"/>
      <w:divBdr>
        <w:top w:val="none" w:sz="0" w:space="0" w:color="auto"/>
        <w:left w:val="none" w:sz="0" w:space="0" w:color="auto"/>
        <w:bottom w:val="none" w:sz="0" w:space="0" w:color="auto"/>
        <w:right w:val="none" w:sz="0" w:space="0" w:color="auto"/>
      </w:divBdr>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0877703">
      <w:bodyDiv w:val="1"/>
      <w:marLeft w:val="0"/>
      <w:marRight w:val="0"/>
      <w:marTop w:val="0"/>
      <w:marBottom w:val="0"/>
      <w:divBdr>
        <w:top w:val="none" w:sz="0" w:space="0" w:color="auto"/>
        <w:left w:val="none" w:sz="0" w:space="0" w:color="auto"/>
        <w:bottom w:val="none" w:sz="0" w:space="0" w:color="auto"/>
        <w:right w:val="none" w:sz="0" w:space="0" w:color="auto"/>
      </w:divBdr>
      <w:divsChild>
        <w:div w:id="1820729466">
          <w:marLeft w:val="0"/>
          <w:marRight w:val="0"/>
          <w:marTop w:val="0"/>
          <w:marBottom w:val="0"/>
          <w:divBdr>
            <w:top w:val="none" w:sz="0" w:space="0" w:color="auto"/>
            <w:left w:val="none" w:sz="0" w:space="0" w:color="auto"/>
            <w:bottom w:val="none" w:sz="0" w:space="0" w:color="auto"/>
            <w:right w:val="none" w:sz="0" w:space="0" w:color="auto"/>
          </w:divBdr>
          <w:divsChild>
            <w:div w:id="20801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AUTO/?uri=celex:32009R0641" TargetMode="External"/><Relationship Id="rId18" Type="http://schemas.openxmlformats.org/officeDocument/2006/relationships/hyperlink" Target="https://eur-lex.europa.eu/legal-content/RO/AUTO/?uri=celex:32012R0622"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https://eur-lex.europa.eu/legal-content/RO/AUTO/?uri=celex:32012R062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lex.europa.eu/legal-content/RO/AUTO/?uri=celex:32009R0641" TargetMode="External"/><Relationship Id="rId17" Type="http://schemas.openxmlformats.org/officeDocument/2006/relationships/hyperlink" Target="https://eur-lex.europa.eu/legal-content/RO/AUTO/?uri=celex:32019R1781" TargetMode="External"/><Relationship Id="rId25" Type="http://schemas.openxmlformats.org/officeDocument/2006/relationships/image" Target="media/image4.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lex.europa.eu/legal-content/RO/AUTO/?uri=celex:32012R0622" TargetMode="External"/><Relationship Id="rId20" Type="http://schemas.openxmlformats.org/officeDocument/2006/relationships/hyperlink" Target="https://eur-lex.europa.eu/legal-content/RO/AUTO/?uri=celex:32009R0641"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02009R0641-20191114" TargetMode="External"/><Relationship Id="rId24" Type="http://schemas.openxmlformats.org/officeDocument/2006/relationships/image" Target="media/image3.jpeg"/><Relationship Id="rId32" Type="http://schemas.openxmlformats.org/officeDocument/2006/relationships/hyperlink" Target="https://eur-lex.europa.eu/legal-content/RO/AUTO/?uri=celex:32009R0641" TargetMode="External"/><Relationship Id="rId5" Type="http://schemas.openxmlformats.org/officeDocument/2006/relationships/webSettings" Target="webSettings.xml"/><Relationship Id="rId15" Type="http://schemas.openxmlformats.org/officeDocument/2006/relationships/hyperlink" Target="https://eur-lex.europa.eu/legal-content/RO/AUTO/?uri=celex:32012R0622R%2801%29" TargetMode="External"/><Relationship Id="rId23" Type="http://schemas.openxmlformats.org/officeDocument/2006/relationships/image" Target="media/image2.jpeg"/><Relationship Id="rId28" Type="http://schemas.openxmlformats.org/officeDocument/2006/relationships/image" Target="media/image6.jpeg"/><Relationship Id="rId10" Type="http://schemas.openxmlformats.org/officeDocument/2006/relationships/hyperlink" Target="https://eur-lex.europa.eu/legal-content/RO/AUTO/?uri=celex:32012R0622" TargetMode="External"/><Relationship Id="rId19" Type="http://schemas.openxmlformats.org/officeDocument/2006/relationships/hyperlink" Target="https://eur-lex.europa.eu/legal-content/RO/AUTO/?uri=celex:32012R0622R%2801%29" TargetMode="External"/><Relationship Id="rId31" Type="http://schemas.openxmlformats.org/officeDocument/2006/relationships/hyperlink" Target="https://eur-lex.europa.eu/legal-content/RO/AUTO/?uri=celex:32016R2282" TargetMode="External"/><Relationship Id="rId4" Type="http://schemas.openxmlformats.org/officeDocument/2006/relationships/settings" Target="settings.xml"/><Relationship Id="rId9" Type="http://schemas.openxmlformats.org/officeDocument/2006/relationships/hyperlink" Target="https://eur-lex.europa.eu/legal-content/RO/AUTO/?uri=celex:32019R1781" TargetMode="External"/><Relationship Id="rId14" Type="http://schemas.openxmlformats.org/officeDocument/2006/relationships/hyperlink" Target="https://eur-lex.europa.eu/legal-content/RO/AUTO/?uri=celex:32012R0622" TargetMode="External"/><Relationship Id="rId22" Type="http://schemas.openxmlformats.org/officeDocument/2006/relationships/image" Target="media/image1.jpeg"/><Relationship Id="rId27" Type="http://schemas.openxmlformats.org/officeDocument/2006/relationships/hyperlink" Target="https://eur-lex.europa.eu/legal-content/RO/TXT/?uri=CELEX:02009R0641-20191114" TargetMode="External"/><Relationship Id="rId30" Type="http://schemas.openxmlformats.org/officeDocument/2006/relationships/image" Target="media/image8.jpeg"/><Relationship Id="rId8" Type="http://schemas.openxmlformats.org/officeDocument/2006/relationships/hyperlink" Target="https://eur-lex.europa.eu/legal-content/RO/AUTO/?uri=celex:32012R06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9D654-8D90-4633-9EA5-822699120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13</Pages>
  <Words>3689</Words>
  <Characters>21030</Characters>
  <Application>Microsoft Office Word</Application>
  <DocSecurity>0</DocSecurity>
  <Lines>175</Lines>
  <Paragraphs>49</Paragraphs>
  <ScaleCrop>false</ScaleCrop>
  <HeadingPairs>
    <vt:vector size="6" baseType="variant">
      <vt:variant>
        <vt:lpstr>Title</vt:lpstr>
      </vt:variant>
      <vt:variant>
        <vt:i4>1</vt:i4>
      </vt:variant>
      <vt:variant>
        <vt:lpstr>Название</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24670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User</cp:lastModifiedBy>
  <cp:revision>22</cp:revision>
  <cp:lastPrinted>2020-08-12T13:02:00Z</cp:lastPrinted>
  <dcterms:created xsi:type="dcterms:W3CDTF">2024-02-28T15:47:00Z</dcterms:created>
  <dcterms:modified xsi:type="dcterms:W3CDTF">2024-09-24T11:08:00Z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12379c4fd5ab7076db74f775894d9efda15800967e3bd37566c323eca05ace1e</vt:lpwstr>
  </property>
</Properties>
</file>